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29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3E83ED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初中级资质认证一体化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授课安排</w:t>
      </w:r>
      <w:bookmarkEnd w:id="2"/>
    </w:p>
    <w:p w14:paraId="0559A6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BF86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一、授课内容</w:t>
      </w:r>
    </w:p>
    <w:p w14:paraId="33FCF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按照《大纲》分层次培养原则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国家技术转移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专业人员的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培训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资质认证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初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级、中级和高级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三个层次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逐级培训，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全面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覆盖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大纲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培训要求。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初中级一体化培训具体内容及颁证事宜如下：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516"/>
      </w:tblGrid>
      <w:tr w14:paraId="6378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pct"/>
            <w:vAlign w:val="center"/>
          </w:tcPr>
          <w:p w14:paraId="0B90940F">
            <w:pPr>
              <w:snapToGrid w:val="0"/>
              <w:jc w:val="center"/>
              <w:rPr>
                <w:rFonts w:hint="eastAsia" w:ascii="宋体" w:hAnsi="宋体" w:eastAsia="宋体" w:cs="宋体1磠...."/>
                <w:b/>
                <w:bCs/>
                <w:color w:val="000000"/>
                <w:kern w:val="0"/>
                <w:sz w:val="24"/>
                <w:szCs w:val="36"/>
                <w:lang w:bidi="ar"/>
              </w:rPr>
            </w:pPr>
            <w:bookmarkStart w:id="0" w:name="_Hlk162427025"/>
          </w:p>
        </w:tc>
        <w:tc>
          <w:tcPr>
            <w:tcW w:w="3823" w:type="pct"/>
            <w:vAlign w:val="center"/>
          </w:tcPr>
          <w:p w14:paraId="448CAA90">
            <w:pPr>
              <w:snapToGrid w:val="0"/>
              <w:jc w:val="center"/>
              <w:rPr>
                <w:rFonts w:hint="eastAsia" w:ascii="宋体" w:hAnsi="宋体" w:eastAsia="宋体" w:cs="宋体1磠...."/>
                <w:b/>
                <w:bCs/>
                <w:color w:val="000000"/>
                <w:kern w:val="0"/>
                <w:sz w:val="24"/>
                <w:szCs w:val="36"/>
                <w:lang w:bidi="ar"/>
              </w:rPr>
            </w:pPr>
            <w:r>
              <w:rPr>
                <w:rFonts w:hint="eastAsia" w:ascii="宋体" w:hAnsi="宋体" w:eastAsia="宋体" w:cs="宋体1磠...."/>
                <w:b/>
                <w:bCs/>
                <w:color w:val="000000"/>
                <w:kern w:val="0"/>
                <w:sz w:val="24"/>
                <w:szCs w:val="36"/>
                <w:lang w:bidi="ar"/>
              </w:rPr>
              <w:t>中级技术经纪人（初中级一体化）</w:t>
            </w:r>
          </w:p>
        </w:tc>
      </w:tr>
      <w:tr w14:paraId="4054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77" w:type="pct"/>
            <w:vAlign w:val="center"/>
          </w:tcPr>
          <w:p w14:paraId="0DD31C9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  <w:t>涉及课程</w:t>
            </w:r>
          </w:p>
          <w:p w14:paraId="13CDE60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  <w:t>共计40课时</w:t>
            </w:r>
          </w:p>
        </w:tc>
        <w:tc>
          <w:tcPr>
            <w:tcW w:w="3823" w:type="pct"/>
            <w:vAlign w:val="center"/>
          </w:tcPr>
          <w:p w14:paraId="5CFD44C5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技术市场与技术经理人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7B44314C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科技成果转化政策与法律法规体系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02243ADB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技术需求甄别与分析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42F29BFB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技术评估评价实务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7056BD68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融资渠道与金融工具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4AAD2BBA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技术交易商务策划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70735C9A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技术合同登记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14B47E94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科技成果商业化推介实务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3E4731BA">
            <w:pPr>
              <w:snapToGrid w:val="0"/>
              <w:spacing w:line="360" w:lineRule="auto"/>
              <w:ind w:left="420" w:left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*以上24课时为初级内容</w:t>
            </w:r>
          </w:p>
          <w:p w14:paraId="6B68A657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创业孵化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2.5课时</w:t>
            </w:r>
          </w:p>
          <w:p w14:paraId="28C248C0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中试熟化与技术集成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2.5课时</w:t>
            </w:r>
          </w:p>
          <w:p w14:paraId="406DAC04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企业并购与技术作价入股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2.5课时</w:t>
            </w:r>
          </w:p>
          <w:p w14:paraId="4A6CED1E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资本募集与基金运营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2.5课时</w:t>
            </w:r>
          </w:p>
          <w:p w14:paraId="4FD185AB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专利申请与布局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2.5课时</w:t>
            </w:r>
          </w:p>
          <w:p w14:paraId="3401CEEF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科技成果转化谈判实务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2.5课时</w:t>
            </w:r>
          </w:p>
          <w:p w14:paraId="446C6A2F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技术转移项目案例分析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 w14:paraId="0E32723B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*注：最终以实际课程安排为准。</w:t>
            </w:r>
          </w:p>
        </w:tc>
      </w:tr>
      <w:tr w14:paraId="2A01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7" w:type="pct"/>
            <w:vAlign w:val="center"/>
          </w:tcPr>
          <w:p w14:paraId="17809218"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1磠...."/>
                <w:b/>
                <w:bCs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培训方式</w:t>
            </w:r>
          </w:p>
        </w:tc>
        <w:tc>
          <w:tcPr>
            <w:tcW w:w="3823" w:type="pct"/>
            <w:vAlign w:val="center"/>
          </w:tcPr>
          <w:p w14:paraId="3A715CCA">
            <w:pPr>
              <w:snapToGrid w:val="0"/>
              <w:spacing w:before="156" w:beforeLines="50"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32"/>
              </w:rPr>
              <w:t>线上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课程+</w:t>
            </w:r>
            <w:r>
              <w:rPr>
                <w:rFonts w:ascii="宋体" w:hAnsi="宋体" w:eastAsia="宋体"/>
                <w:b/>
                <w:bCs/>
                <w:sz w:val="24"/>
                <w:szCs w:val="32"/>
              </w:rPr>
              <w:t>线下授课</w:t>
            </w:r>
          </w:p>
        </w:tc>
      </w:tr>
      <w:tr w14:paraId="5EB8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177" w:type="pct"/>
            <w:vAlign w:val="center"/>
          </w:tcPr>
          <w:p w14:paraId="16F68A8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  <w:t>考核方式</w:t>
            </w:r>
          </w:p>
        </w:tc>
        <w:tc>
          <w:tcPr>
            <w:tcW w:w="3823" w:type="pct"/>
            <w:vAlign w:val="center"/>
          </w:tcPr>
          <w:p w14:paraId="26C731D9"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撰写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15页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的科技成果商业化推介PPT（小组作业）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以及3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字左右的案例分析（小组作业）</w:t>
            </w:r>
          </w:p>
          <w:p w14:paraId="4713D3FD"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线下笔试（9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</w:tc>
      </w:tr>
      <w:tr w14:paraId="355D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pct"/>
            <w:vAlign w:val="center"/>
          </w:tcPr>
          <w:p w14:paraId="660920B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  <w:t>结业条件</w:t>
            </w:r>
          </w:p>
        </w:tc>
        <w:tc>
          <w:tcPr>
            <w:tcW w:w="3823" w:type="pct"/>
            <w:vAlign w:val="center"/>
          </w:tcPr>
          <w:p w14:paraId="07391EBF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1磠....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修完全部学时课程内容（大于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80%到课率），参加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考核取得合格以上成绩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（6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分/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按时提交经评定合格的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初级和中级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 w14:paraId="0CCC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77" w:type="pct"/>
            <w:vAlign w:val="center"/>
          </w:tcPr>
          <w:p w14:paraId="51D764E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  <w:t>颁发证书</w:t>
            </w:r>
          </w:p>
        </w:tc>
        <w:tc>
          <w:tcPr>
            <w:tcW w:w="3823" w:type="pct"/>
            <w:vAlign w:val="center"/>
          </w:tcPr>
          <w:p w14:paraId="5BC0A1A8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32810704"/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国家技术转移专业人员能力等级</w:t>
            </w:r>
            <w:bookmarkEnd w:id="1"/>
            <w:r>
              <w:rPr>
                <w:rFonts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中级技术经纪人培训结业证书</w:t>
            </w:r>
          </w:p>
          <w:p w14:paraId="5685B81F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统一上报工信部火炬中心认定备案</w:t>
            </w:r>
          </w:p>
          <w:p w14:paraId="4F47B3E2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*可聘为上海海洋大学校外技术经理人、上海临港新片区海洋生物医药科技创新型平台技术经理人</w:t>
            </w:r>
          </w:p>
        </w:tc>
      </w:tr>
      <w:tr w14:paraId="14C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77" w:type="pct"/>
            <w:vAlign w:val="center"/>
          </w:tcPr>
          <w:p w14:paraId="28B4337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  <w:t>颁证机构</w:t>
            </w:r>
          </w:p>
        </w:tc>
        <w:tc>
          <w:tcPr>
            <w:tcW w:w="3823" w:type="pct"/>
            <w:vAlign w:val="center"/>
          </w:tcPr>
          <w:p w14:paraId="24275A90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国家技术转移东部中心（上海东部科技成果转化有限公司）、国家技术转移人才培养基地（东部中心）</w:t>
            </w:r>
          </w:p>
        </w:tc>
      </w:tr>
      <w:tr w14:paraId="0252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pct"/>
            <w:vAlign w:val="center"/>
          </w:tcPr>
          <w:p w14:paraId="24EABBC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1磠...."/>
                <w:color w:val="000000"/>
                <w:kern w:val="0"/>
                <w:szCs w:val="28"/>
                <w:lang w:bidi="ar"/>
              </w:rPr>
              <w:t>证书样张</w:t>
            </w:r>
          </w:p>
        </w:tc>
        <w:tc>
          <w:tcPr>
            <w:tcW w:w="3823" w:type="pct"/>
            <w:vAlign w:val="center"/>
          </w:tcPr>
          <w:p w14:paraId="5C31ECB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14:ligatures w14:val="standardContextual"/>
              </w:rPr>
              <w:drawing>
                <wp:inline distT="0" distB="0" distL="0" distR="0">
                  <wp:extent cx="2834640" cy="2004695"/>
                  <wp:effectExtent l="0" t="0" r="3810" b="14605"/>
                  <wp:docPr id="858539799" name="图片 1" descr="文本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39799" name="图片 1" descr="文本&#10;&#10;AI 生成的内容可能不正确。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910" cy="201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E23831B">
      <w:pPr>
        <w:spacing w:line="360" w:lineRule="auto"/>
        <w:rPr>
          <w:rFonts w:hint="eastAsia" w:ascii="宋体" w:hAnsi="宋体" w:eastAsia="宋体" w:cs="宋体1磠...."/>
          <w:color w:val="000000"/>
          <w:kern w:val="0"/>
          <w:szCs w:val="28"/>
          <w:lang w:bidi="ar"/>
        </w:rPr>
      </w:pPr>
    </w:p>
    <w:p w14:paraId="1ECE79A4"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firstLine="482" w:firstLineChars="200"/>
        <w:rPr>
          <w:rFonts w:hint="default" w:ascii="宋体" w:hAnsi="宋体" w:eastAsia="宋体" w:cs="宋体1磠...."/>
          <w:b/>
          <w:bCs/>
          <w:color w:val="000000"/>
          <w:kern w:val="0"/>
          <w:sz w:val="24"/>
          <w:szCs w:val="36"/>
          <w:lang w:val="en-US" w:eastAsia="zh-CN" w:bidi="ar"/>
        </w:rPr>
      </w:pP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val="en-US" w:eastAsia="zh-CN" w:bidi="ar"/>
        </w:rPr>
        <w:t>二、课程安排</w:t>
      </w:r>
    </w:p>
    <w:p w14:paraId="47FAC156"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eastAsia="zh-CN" w:bidi="ar"/>
        </w:rPr>
        <w:t>（</w:t>
      </w: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val="en-US" w:eastAsia="zh-CN" w:bidi="ar"/>
        </w:rPr>
        <w:t>1</w:t>
      </w: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eastAsia="zh-CN" w:bidi="ar"/>
        </w:rPr>
        <w:t>）</w:t>
      </w: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  <w:t>线上平台课程</w:t>
      </w:r>
    </w:p>
    <w:p w14:paraId="5478B30D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初级部分：</w:t>
      </w:r>
    </w:p>
    <w:p w14:paraId="028E983F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技术市场与技术经理人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3373576B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科技成果转化政策与法律法规体系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6AED75FE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技术需求甄别与分析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32D4851D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技术评估评价实务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1E037C7C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融资渠道与金融工具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06CB5773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技术交易商务策划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41E6854F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技术合同登记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4394F9D2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科技成果商业化推介实务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课时</w:t>
      </w:r>
    </w:p>
    <w:p w14:paraId="361C9BB7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中级部分：</w:t>
      </w:r>
    </w:p>
    <w:p w14:paraId="79D7E744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创业孵化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2.5课时</w:t>
      </w:r>
    </w:p>
    <w:p w14:paraId="6AD0128A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中试熟化与技术集成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2.5课时</w:t>
      </w:r>
    </w:p>
    <w:p w14:paraId="4B641545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企业并购与技术作价入股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2.5课时</w:t>
      </w:r>
    </w:p>
    <w:p w14:paraId="5990C983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资本募集与基金运营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2.5课时</w:t>
      </w:r>
    </w:p>
    <w:p w14:paraId="228F9171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专利申请与布局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2.5课时</w:t>
      </w:r>
    </w:p>
    <w:p w14:paraId="78CB5046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科技成果转化谈判实务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2.5课时</w:t>
      </w:r>
    </w:p>
    <w:p w14:paraId="2AD37E6C">
      <w:pPr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技术转移项目案例分析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1课时</w:t>
      </w:r>
    </w:p>
    <w:p w14:paraId="0EA5CBC8">
      <w:pPr>
        <w:spacing w:line="360" w:lineRule="auto"/>
        <w:jc w:val="right"/>
        <w:rPr>
          <w:rFonts w:hint="eastAsia" w:ascii="宋体" w:hAnsi="宋体" w:eastAsia="宋体" w:cs="宋体1磠...."/>
          <w:color w:val="000000"/>
          <w:kern w:val="0"/>
          <w:sz w:val="22"/>
          <w:szCs w:val="32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2"/>
          <w:szCs w:val="32"/>
          <w:lang w:bidi="ar"/>
        </w:rPr>
        <w:t>*学员务必于4月24日前完成学习</w:t>
      </w:r>
    </w:p>
    <w:p w14:paraId="51DF946D">
      <w:pPr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eastAsia="zh-CN" w:bidi="ar"/>
        </w:rPr>
        <w:t>（</w:t>
      </w: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val="en-US" w:eastAsia="zh-CN" w:bidi="ar"/>
        </w:rPr>
        <w:t>2</w:t>
      </w: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eastAsia="zh-CN" w:bidi="ar"/>
        </w:rPr>
        <w:t>）</w:t>
      </w: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  <w:t>线下课程</w:t>
      </w:r>
    </w:p>
    <w:p w14:paraId="52F83516">
      <w:pPr>
        <w:spacing w:line="360" w:lineRule="auto"/>
        <w:ind w:firstLine="482" w:firstLineChars="200"/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  <w:t>4月23日</w:t>
      </w:r>
    </w:p>
    <w:p w14:paraId="76AB56D6">
      <w:pPr>
        <w:spacing w:line="360" w:lineRule="auto"/>
        <w:ind w:left="420" w:leftChars="20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9:00-12:00</w:t>
      </w:r>
      <w:r>
        <w:rPr>
          <w:rFonts w:ascii="宋体" w:hAnsi="宋体" w:eastAsia="宋体" w:cs="宋体1磠...."/>
          <w:color w:val="000000"/>
          <w:kern w:val="0"/>
          <w:sz w:val="24"/>
          <w:szCs w:val="36"/>
          <w:lang w:bidi="ar"/>
        </w:rPr>
        <w:tab/>
      </w:r>
      <w:r>
        <w:rPr>
          <w:rFonts w:ascii="宋体" w:hAnsi="宋体" w:eastAsia="宋体" w:cs="宋体1磠...."/>
          <w:color w:val="000000"/>
          <w:kern w:val="0"/>
          <w:sz w:val="24"/>
          <w:szCs w:val="36"/>
          <w:lang w:bidi="ar"/>
        </w:rPr>
        <w:tab/>
      </w: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科技成果转化机制、政策解读</w:t>
      </w:r>
    </w:p>
    <w:p w14:paraId="2367F6CD">
      <w:pPr>
        <w:spacing w:line="360" w:lineRule="auto"/>
        <w:ind w:left="1680" w:leftChars="800" w:firstLine="42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上海市科技成果转化领域相关专家（国家、上海有关政策）</w:t>
      </w:r>
    </w:p>
    <w:p w14:paraId="58175CE8">
      <w:pPr>
        <w:spacing w:line="360" w:lineRule="auto"/>
        <w:ind w:left="1680" w:leftChars="800" w:firstLine="42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上海临港管委会有关领导（产业、企业、人才政策）</w:t>
      </w:r>
    </w:p>
    <w:p w14:paraId="788CC712">
      <w:pPr>
        <w:spacing w:line="360" w:lineRule="auto"/>
        <w:ind w:left="1680" w:leftChars="800" w:firstLine="42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上海海洋大学技术转移中心有关领导（高校技术转移政策）</w:t>
      </w:r>
    </w:p>
    <w:p w14:paraId="4DB09889">
      <w:pPr>
        <w:spacing w:line="360" w:lineRule="auto"/>
        <w:ind w:left="420" w:leftChars="20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13:30-16:30</w:t>
      </w:r>
      <w:r>
        <w:rPr>
          <w:rFonts w:ascii="宋体" w:hAnsi="宋体" w:eastAsia="宋体" w:cs="宋体1磠...."/>
          <w:color w:val="000000"/>
          <w:kern w:val="0"/>
          <w:sz w:val="24"/>
          <w:szCs w:val="36"/>
          <w:lang w:bidi="ar"/>
        </w:rPr>
        <w:tab/>
      </w: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科技成果赋权与科技成果作价入股</w:t>
      </w:r>
    </w:p>
    <w:p w14:paraId="46F9C18E">
      <w:pPr>
        <w:spacing w:line="360" w:lineRule="auto"/>
        <w:ind w:left="1680" w:leftChars="800" w:firstLine="42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高质量高价值专利的全流程管理</w:t>
      </w:r>
    </w:p>
    <w:p w14:paraId="65523DF3">
      <w:pPr>
        <w:spacing w:line="360" w:lineRule="auto"/>
        <w:ind w:firstLine="482" w:firstLineChars="200"/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b/>
          <w:bCs/>
          <w:color w:val="000000"/>
          <w:kern w:val="0"/>
          <w:sz w:val="24"/>
          <w:szCs w:val="36"/>
          <w:lang w:bidi="ar"/>
        </w:rPr>
        <w:t>4月24日</w:t>
      </w:r>
    </w:p>
    <w:p w14:paraId="507D2464">
      <w:pPr>
        <w:spacing w:line="360" w:lineRule="auto"/>
        <w:ind w:left="420" w:leftChars="20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 xml:space="preserve">9:00-12:00   </w:t>
      </w:r>
      <w:r>
        <w:rPr>
          <w:rFonts w:ascii="宋体" w:hAnsi="宋体" w:eastAsia="宋体" w:cs="宋体1磠...."/>
          <w:color w:val="000000"/>
          <w:kern w:val="0"/>
          <w:sz w:val="24"/>
          <w:szCs w:val="36"/>
          <w:lang w:bidi="ar"/>
        </w:rPr>
        <w:tab/>
      </w: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中试熟化、技术集成与成果转化</w:t>
      </w:r>
    </w:p>
    <w:p w14:paraId="372444DC">
      <w:pPr>
        <w:spacing w:line="360" w:lineRule="auto"/>
        <w:ind w:left="1680" w:leftChars="800" w:firstLine="42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创新医疗器械转化策略与合规管理</w:t>
      </w:r>
    </w:p>
    <w:p w14:paraId="66DDDBB1">
      <w:pPr>
        <w:spacing w:line="360" w:lineRule="auto"/>
        <w:ind w:left="420" w:leftChars="20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 xml:space="preserve">13:00-16:00  </w:t>
      </w:r>
      <w:r>
        <w:rPr>
          <w:rFonts w:ascii="宋体" w:hAnsi="宋体" w:eastAsia="宋体" w:cs="宋体1磠...."/>
          <w:color w:val="000000"/>
          <w:kern w:val="0"/>
          <w:sz w:val="24"/>
          <w:szCs w:val="36"/>
          <w:lang w:bidi="ar"/>
        </w:rPr>
        <w:tab/>
      </w: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技术转移项目实操与案例解读</w:t>
      </w:r>
    </w:p>
    <w:p w14:paraId="70687933">
      <w:pPr>
        <w:spacing w:line="360" w:lineRule="auto"/>
        <w:ind w:left="420" w:leftChars="200"/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</w:pPr>
      <w:r>
        <w:rPr>
          <w:rFonts w:hint="eastAsia" w:ascii="宋体" w:hAnsi="宋体" w:eastAsia="宋体" w:cs="宋体1磠...."/>
          <w:color w:val="000000"/>
          <w:kern w:val="0"/>
          <w:sz w:val="24"/>
          <w:szCs w:val="36"/>
          <w:lang w:bidi="ar"/>
        </w:rPr>
        <w:t>16:00-17:30   理论部分笔试</w:t>
      </w:r>
    </w:p>
    <w:p w14:paraId="6E48D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1磠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95697"/>
    <w:multiLevelType w:val="multilevel"/>
    <w:tmpl w:val="3419569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13DC4"/>
    <w:rsid w:val="47725F26"/>
    <w:rsid w:val="63F1444E"/>
    <w:rsid w:val="716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1106</Characters>
  <Lines>0</Lines>
  <Paragraphs>0</Paragraphs>
  <TotalTime>1</TotalTime>
  <ScaleCrop>false</ScaleCrop>
  <LinksUpToDate>false</LinksUpToDate>
  <CharactersWithSpaces>1284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2025-03-27T04:27:00Z</dcterms:created>
  <dc:creator>admin</dc:creator>
  <cp:lastModifiedBy>admin</cp:lastModifiedBy>
  <dcterms:modified xsi:type="dcterms:W3CDTF">2025-03-27T04:39:40Z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eyJoZGlkIjoiYjI0NTZhNjA2MTk5ODg1NGRiM2MxNmVhZjg5YjA0NTcifQ==</vt:lpwstr>
  </property>
  <property fmtid="{D5CDD505-2E9C-101B-9397-08002B2CF9AE}" pid="4" name="ICV">
    <vt:lpwstr>E28595D5CE194F519BF2609C9E3071C3_12</vt:lpwstr>
  </property>
</Properties>
</file>