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8306"/>
      </w:tblGrid>
      <w:tr w:rsidR="00A45F66" w:rsidRPr="00A45F66" w:rsidTr="00A45F66">
        <w:trPr>
          <w:trHeight w:val="300"/>
          <w:tblCellSpacing w:w="0" w:type="dxa"/>
        </w:trPr>
        <w:tc>
          <w:tcPr>
            <w:tcW w:w="5000" w:type="pct"/>
            <w:vAlign w:val="center"/>
            <w:hideMark/>
          </w:tcPr>
          <w:p w:rsidR="00A45F66" w:rsidRPr="00A45F66" w:rsidRDefault="00A45F66" w:rsidP="00A45F66">
            <w:pPr>
              <w:widowControl/>
              <w:jc w:val="center"/>
              <w:rPr>
                <w:rFonts w:ascii="Arial" w:eastAsia="宋体" w:hAnsi="Arial" w:cs="Arial"/>
                <w:color w:val="333333"/>
                <w:kern w:val="0"/>
                <w:szCs w:val="21"/>
              </w:rPr>
            </w:pPr>
            <w:r w:rsidRPr="00A45F66">
              <w:rPr>
                <w:rFonts w:ascii="Arial" w:eastAsia="宋体" w:hAnsi="Arial" w:cs="Arial"/>
                <w:b/>
                <w:bCs/>
                <w:color w:val="333333"/>
                <w:kern w:val="0"/>
                <w:sz w:val="23"/>
                <w:szCs w:val="23"/>
              </w:rPr>
              <w:t>上海市重点实验室专项经费管理办法</w:t>
            </w:r>
            <w:r w:rsidRPr="00A45F66">
              <w:rPr>
                <w:rFonts w:ascii="Arial" w:eastAsia="宋体" w:hAnsi="Arial" w:cs="Arial"/>
                <w:color w:val="333333"/>
                <w:kern w:val="0"/>
                <w:szCs w:val="21"/>
              </w:rPr>
              <w:t xml:space="preserve"> </w:t>
            </w:r>
          </w:p>
        </w:tc>
      </w:tr>
      <w:tr w:rsidR="00A45F66" w:rsidRPr="00A45F66" w:rsidTr="00A45F66">
        <w:trPr>
          <w:trHeight w:val="600"/>
          <w:tblCellSpacing w:w="0" w:type="dxa"/>
          <w:hidden/>
        </w:trPr>
        <w:tc>
          <w:tcPr>
            <w:tcW w:w="0" w:type="auto"/>
            <w:vAlign w:val="center"/>
            <w:hideMark/>
          </w:tcPr>
          <w:p w:rsidR="00A45F66" w:rsidRPr="00A45F66" w:rsidRDefault="00A45F66" w:rsidP="00A45F66">
            <w:pPr>
              <w:widowControl/>
              <w:jc w:val="center"/>
              <w:rPr>
                <w:rFonts w:ascii="Arial" w:eastAsia="宋体" w:hAnsi="Arial" w:cs="Arial"/>
                <w:vanish/>
                <w:color w:val="C40000"/>
                <w:kern w:val="0"/>
                <w:szCs w:val="21"/>
              </w:rPr>
            </w:pPr>
            <w:r w:rsidRPr="00A45F66">
              <w:rPr>
                <w:rFonts w:ascii="Arial" w:eastAsia="宋体" w:hAnsi="Arial" w:cs="Arial"/>
                <w:vanish/>
                <w:color w:val="C40000"/>
                <w:kern w:val="0"/>
                <w:szCs w:val="21"/>
              </w:rPr>
              <w:t>发表时间：</w:t>
            </w:r>
            <w:r w:rsidRPr="00A45F66">
              <w:rPr>
                <w:rFonts w:ascii="Arial" w:eastAsia="宋体" w:hAnsi="Arial" w:cs="Arial"/>
                <w:vanish/>
                <w:color w:val="C40000"/>
                <w:kern w:val="0"/>
                <w:szCs w:val="21"/>
              </w:rPr>
              <w:t xml:space="preserve">2013-04-16 </w:t>
            </w:r>
            <w:r w:rsidRPr="00A45F66">
              <w:rPr>
                <w:rFonts w:ascii="Arial" w:eastAsia="宋体" w:hAnsi="Arial" w:cs="Arial"/>
                <w:vanish/>
                <w:color w:val="C40000"/>
                <w:kern w:val="0"/>
                <w:szCs w:val="21"/>
              </w:rPr>
              <w:t>阅读次数：</w:t>
            </w:r>
            <w:r w:rsidRPr="00A45F66">
              <w:rPr>
                <w:rFonts w:ascii="Arial" w:eastAsia="宋体" w:hAnsi="Arial" w:cs="Arial"/>
                <w:vanish/>
                <w:color w:val="C40000"/>
                <w:kern w:val="0"/>
                <w:szCs w:val="21"/>
              </w:rPr>
              <w:t>693</w:t>
            </w:r>
            <w:r w:rsidRPr="00A45F66">
              <w:rPr>
                <w:rFonts w:ascii="Arial" w:eastAsia="宋体" w:hAnsi="Arial" w:cs="Arial"/>
                <w:vanish/>
                <w:color w:val="C40000"/>
                <w:kern w:val="0"/>
                <w:szCs w:val="21"/>
              </w:rPr>
              <w:t>次</w:t>
            </w:r>
            <w:r w:rsidRPr="00A45F66">
              <w:rPr>
                <w:rFonts w:ascii="Arial" w:eastAsia="宋体" w:hAnsi="Arial" w:cs="Arial"/>
                <w:vanish/>
                <w:color w:val="C40000"/>
                <w:kern w:val="0"/>
                <w:szCs w:val="21"/>
              </w:rPr>
              <w:t xml:space="preserve"> </w:t>
            </w:r>
          </w:p>
        </w:tc>
      </w:tr>
      <w:tr w:rsidR="00A45F66" w:rsidRPr="00A45F66" w:rsidTr="00A45F66">
        <w:trPr>
          <w:trHeight w:val="510"/>
          <w:tblCellSpacing w:w="0" w:type="dxa"/>
        </w:trPr>
        <w:tc>
          <w:tcPr>
            <w:tcW w:w="0" w:type="auto"/>
            <w:vAlign w:val="center"/>
            <w:hideMark/>
          </w:tcPr>
          <w:tbl>
            <w:tblPr>
              <w:tblW w:w="5000" w:type="pct"/>
              <w:tblCellSpacing w:w="30" w:type="dxa"/>
              <w:tblCellMar>
                <w:top w:w="120" w:type="dxa"/>
                <w:left w:w="120" w:type="dxa"/>
                <w:bottom w:w="120" w:type="dxa"/>
                <w:right w:w="120" w:type="dxa"/>
              </w:tblCellMar>
              <w:tblLook w:val="04A0"/>
            </w:tblPr>
            <w:tblGrid>
              <w:gridCol w:w="8306"/>
            </w:tblGrid>
            <w:tr w:rsidR="00A45F66" w:rsidRPr="00A45F66">
              <w:trPr>
                <w:trHeight w:val="2775"/>
                <w:tblCellSpacing w:w="30" w:type="dxa"/>
              </w:trPr>
              <w:tc>
                <w:tcPr>
                  <w:tcW w:w="0" w:type="auto"/>
                  <w:hideMark/>
                </w:tcPr>
                <w:p w:rsidR="00A45F66" w:rsidRPr="00A45F66" w:rsidRDefault="00A45F66" w:rsidP="00A45F66">
                  <w:pPr>
                    <w:widowControl/>
                    <w:spacing w:before="100" w:beforeAutospacing="1" w:after="100" w:afterAutospacing="1"/>
                    <w:jc w:val="left"/>
                    <w:rPr>
                      <w:rFonts w:ascii="Arial" w:eastAsia="宋体" w:hAnsi="Arial" w:cs="Arial"/>
                      <w:color w:val="333333"/>
                      <w:kern w:val="0"/>
                      <w:szCs w:val="21"/>
                    </w:rPr>
                  </w:pPr>
                  <w:r w:rsidRPr="00A45F66">
                    <w:rPr>
                      <w:rFonts w:ascii="Arial" w:eastAsia="宋体" w:hAnsi="Arial" w:cs="Arial"/>
                      <w:b/>
                      <w:bCs/>
                      <w:color w:val="333333"/>
                      <w:kern w:val="0"/>
                      <w:sz w:val="18"/>
                    </w:rPr>
                    <w:t>第一章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总则</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第一条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为贯彻落实《上海中长期科学和技术发展规划纲要（</w:t>
                  </w:r>
                  <w:r w:rsidRPr="00A45F66">
                    <w:rPr>
                      <w:rFonts w:ascii="Arial" w:eastAsia="宋体" w:hAnsi="Arial" w:cs="Arial"/>
                      <w:color w:val="333333"/>
                      <w:kern w:val="0"/>
                      <w:sz w:val="18"/>
                      <w:szCs w:val="18"/>
                    </w:rPr>
                    <w:t>2006</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2020</w:t>
                  </w:r>
                  <w:r w:rsidRPr="00A45F66">
                    <w:rPr>
                      <w:rFonts w:ascii="Arial" w:eastAsia="宋体" w:hAnsi="Arial" w:cs="Arial"/>
                      <w:color w:val="333333"/>
                      <w:kern w:val="0"/>
                      <w:sz w:val="18"/>
                      <w:szCs w:val="18"/>
                    </w:rPr>
                    <w:t>年）》，市财政设立上海市重点实验室专项经费（以下简称专项经费）。为规范和加强专项经费管理，提高资金使用效益，根据国家和上海市关于财政科技经费管理的规定和有关财务规章制度，结合《上海市重点实验室建设和运行管理办法》和《上海市重点实验室评估实施规则》，制定本办法。</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第二条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专项经费主要用于支持按照《上海市重点实验室建设和运行管理办法》设立的上海市重点实验室（以下简称重点实验室）开放运行、自主创新研究和仪器设备更新改造等。</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第三条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专项经费管理和使用的原则：</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（一）稳定支持，长效机制。按照科学研究和技术创新的规律，加大对重点实验室稳定支持力度，为其正常运转提供保障，推动建立有利于重点实验室持续发展、不断创新的长效机制。</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（二）分类管理，追踪问效。按照专项经费用途分类实行预算管理方式，建立相应的绩效评价制度，提高资金使用效益。</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（三）动态调整，择优委托。对重点实验室运行管理进行定期评估和动态调整，被评估结果为</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较差</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或</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不合格</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或撤消的重点实验室不纳入专项经费支持范围。各级科技计划专项经费、基金等应当按照项目、基地、人才相结合的原则，优先委托有条件的重点实验室承担。</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（四）单独核算，专款专用。重点实验室专项经费应当纳入依托单位财务统一管理，单独核算，专款专用，加强监督。</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br/>
                  </w:r>
                  <w:r w:rsidRPr="00A45F66">
                    <w:rPr>
                      <w:rFonts w:ascii="Arial" w:eastAsia="宋体" w:hAnsi="Arial" w:cs="Arial"/>
                      <w:b/>
                      <w:bCs/>
                      <w:color w:val="333333"/>
                      <w:kern w:val="0"/>
                      <w:sz w:val="18"/>
                    </w:rPr>
                    <w:t>第二章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经费额度和开支范围</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第四条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重点实验室根据评估结果，在评估后的三年内（含当年）将获得专项经费资助。</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评估结果为</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优秀</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的重点实验室每年获得不低于</w:t>
                  </w:r>
                  <w:r w:rsidRPr="00A45F66">
                    <w:rPr>
                      <w:rFonts w:ascii="Arial" w:eastAsia="宋体" w:hAnsi="Arial" w:cs="Arial"/>
                      <w:color w:val="333333"/>
                      <w:kern w:val="0"/>
                      <w:sz w:val="18"/>
                      <w:szCs w:val="18"/>
                    </w:rPr>
                    <w:t>80</w:t>
                  </w:r>
                  <w:r w:rsidRPr="00A45F66">
                    <w:rPr>
                      <w:rFonts w:ascii="Arial" w:eastAsia="宋体" w:hAnsi="Arial" w:cs="Arial"/>
                      <w:color w:val="333333"/>
                      <w:kern w:val="0"/>
                      <w:sz w:val="18"/>
                      <w:szCs w:val="18"/>
                    </w:rPr>
                    <w:t>万元的专项经费。</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评估结果为</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良好</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或</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一般</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的重点实验室每年获得不低于</w:t>
                  </w:r>
                  <w:r w:rsidRPr="00A45F66">
                    <w:rPr>
                      <w:rFonts w:ascii="Arial" w:eastAsia="宋体" w:hAnsi="Arial" w:cs="Arial"/>
                      <w:color w:val="333333"/>
                      <w:kern w:val="0"/>
                      <w:sz w:val="18"/>
                      <w:szCs w:val="18"/>
                    </w:rPr>
                    <w:t>50</w:t>
                  </w:r>
                  <w:r w:rsidRPr="00A45F66">
                    <w:rPr>
                      <w:rFonts w:ascii="Arial" w:eastAsia="宋体" w:hAnsi="Arial" w:cs="Arial"/>
                      <w:color w:val="333333"/>
                      <w:kern w:val="0"/>
                      <w:sz w:val="18"/>
                      <w:szCs w:val="18"/>
                    </w:rPr>
                    <w:t>万元的专项经费。</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第五条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依托单位不得以任何名义从专项经费中提取管理费。</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第六条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专项经费开支范围包括由重点实验室直接使用、与重点实验室任务直接相关的开放运行费、基本科研业务费和仪器设备费。</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（一）开放运行费包括日常运行维护费和对外开放共享费。</w:t>
                  </w:r>
                  <w:r w:rsidRPr="00A45F66">
                    <w:rPr>
                      <w:rFonts w:ascii="Arial" w:eastAsia="宋体" w:hAnsi="Arial" w:cs="Arial"/>
                      <w:color w:val="333333"/>
                      <w:kern w:val="0"/>
                      <w:sz w:val="18"/>
                      <w:szCs w:val="18"/>
                    </w:rPr>
                    <w:br/>
                    <w:t>1</w:t>
                  </w:r>
                  <w:r w:rsidRPr="00A45F66">
                    <w:rPr>
                      <w:rFonts w:ascii="Arial" w:eastAsia="宋体" w:hAnsi="Arial" w:cs="Arial"/>
                      <w:color w:val="333333"/>
                      <w:kern w:val="0"/>
                      <w:sz w:val="18"/>
                      <w:szCs w:val="18"/>
                    </w:rPr>
                    <w:t>、日常运行维护费是指维持重点实验室正常运转、完成日常工作任务发生的费用，包括办公及印刷费、水电气燃料费、物业管理费、图书资料费、差旅费、会议费、日常维修费、小型仪器设备购置改造费、公共试剂和耗材费、专家咨询费和劳务费等。</w:t>
                  </w:r>
                  <w:r w:rsidRPr="00A45F66">
                    <w:rPr>
                      <w:rFonts w:ascii="Arial" w:eastAsia="宋体" w:hAnsi="Arial" w:cs="Arial"/>
                      <w:color w:val="333333"/>
                      <w:kern w:val="0"/>
                      <w:sz w:val="18"/>
                      <w:szCs w:val="18"/>
                    </w:rPr>
                    <w:br/>
                    <w:t>2</w:t>
                  </w:r>
                  <w:r w:rsidRPr="00A45F66">
                    <w:rPr>
                      <w:rFonts w:ascii="Arial" w:eastAsia="宋体" w:hAnsi="Arial" w:cs="Arial"/>
                      <w:color w:val="333333"/>
                      <w:kern w:val="0"/>
                      <w:sz w:val="18"/>
                      <w:szCs w:val="18"/>
                    </w:rPr>
                    <w:t>、对外开放共享费是指重点实验室支持开放课题、组织学术交流合作、研究设施对外共享等发生的费用。包括对外开放共享过程中发生的与工作直接相关的材料费、测试化验加工费、差旅费、会议费、出版</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文献</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信息传播</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知识产权事务费、专家咨询费、劳务费、高级访问学者经费等。</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开放课题研究期限为两年。重点实验室固定人员不得使用开放课题经费。</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开放运行费支出不得高于专项经费总经费的</w:t>
                  </w:r>
                  <w:r w:rsidRPr="00A45F66">
                    <w:rPr>
                      <w:rFonts w:ascii="Arial" w:eastAsia="宋体" w:hAnsi="Arial" w:cs="Arial"/>
                      <w:color w:val="333333"/>
                      <w:kern w:val="0"/>
                      <w:sz w:val="18"/>
                      <w:szCs w:val="18"/>
                    </w:rPr>
                    <w:t>40%</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（二）基本科研业务费是指重点实验室围绕主要任务和研究方向开展持续深入的系统性研究和探索性自主选题研究等发生的费用。具体包括与研究工作直接相关的材料费、测试化验加工费、差旅费、会议费、出版</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文献</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信息传播</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知识产权事务费、专家咨询费、劳务费等。自主选题研究期限为两年。</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基本科研业务费支出不得高于专项经费总经费的</w:t>
                  </w:r>
                  <w:r w:rsidRPr="00A45F66">
                    <w:rPr>
                      <w:rFonts w:ascii="Arial" w:eastAsia="宋体" w:hAnsi="Arial" w:cs="Arial"/>
                      <w:color w:val="333333"/>
                      <w:kern w:val="0"/>
                      <w:sz w:val="18"/>
                      <w:szCs w:val="18"/>
                    </w:rPr>
                    <w:t>20%</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三）科研仪器设备费是指正常运行且获得专项经费资助的实验室，按照科研工作需求进行三年一次的仪器设备更新改造等发生的费用。包括直接为科研工作服务的仪器设备购置；利用成熟技术对尚有较好利用价值、直接服务于科研的仪器设备所进行的功能扩展、技术升级；与重点实验室研究方向相关的专用仪器设备研制；为科研提供特殊作用及功能的配套设备和实验配套系统的维修改造等费用。</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lastRenderedPageBreak/>
                    <w:t>科研仪器设备费支出不得高于专项经费总经费的</w:t>
                  </w:r>
                  <w:r w:rsidRPr="00A45F66">
                    <w:rPr>
                      <w:rFonts w:ascii="Arial" w:eastAsia="宋体" w:hAnsi="Arial" w:cs="Arial"/>
                      <w:color w:val="333333"/>
                      <w:kern w:val="0"/>
                      <w:sz w:val="18"/>
                      <w:szCs w:val="18"/>
                    </w:rPr>
                    <w:t>40%</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第七条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专项经费允许开支的劳务费是指在开展重点实验室相关工作中支付给重点实验室成员或相关课题组成员中没有工资性收入的人员（如在校研究生）和临时聘用人员等的劳务性费用。</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专项经费中差旅费的开支标准应当按照国家有关规定执行；会议费的开支应当按照国家有关规定执行，严格控制会议规模、会议数量、会议开支标准和会期。</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专项经费中咨询费的开支标准为：以会议形式组织的咨询，专家咨询费的开支一般参照高级专业技术职称人员</w:t>
                  </w:r>
                  <w:r w:rsidRPr="00A45F66">
                    <w:rPr>
                      <w:rFonts w:ascii="Arial" w:eastAsia="宋体" w:hAnsi="Arial" w:cs="Arial"/>
                      <w:color w:val="333333"/>
                      <w:kern w:val="0"/>
                      <w:sz w:val="18"/>
                      <w:szCs w:val="18"/>
                    </w:rPr>
                    <w:t>500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-800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人天、其他专业技术一般人员</w:t>
                  </w:r>
                  <w:r w:rsidRPr="00A45F66">
                    <w:rPr>
                      <w:rFonts w:ascii="Arial" w:eastAsia="宋体" w:hAnsi="Arial" w:cs="Arial"/>
                      <w:color w:val="333333"/>
                      <w:kern w:val="0"/>
                      <w:sz w:val="18"/>
                      <w:szCs w:val="18"/>
                    </w:rPr>
                    <w:t>300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-500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人天的标准执行。会期超过两天的，第三天及以后的咨询费标准参照高级专业技术职称人员</w:t>
                  </w:r>
                  <w:r w:rsidRPr="00A45F66">
                    <w:rPr>
                      <w:rFonts w:ascii="Arial" w:eastAsia="宋体" w:hAnsi="Arial" w:cs="Arial"/>
                      <w:color w:val="333333"/>
                      <w:kern w:val="0"/>
                      <w:sz w:val="18"/>
                      <w:szCs w:val="18"/>
                    </w:rPr>
                    <w:t>300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-400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人天、其他专业技术人员</w:t>
                  </w:r>
                  <w:r w:rsidRPr="00A45F66">
                    <w:rPr>
                      <w:rFonts w:ascii="Arial" w:eastAsia="宋体" w:hAnsi="Arial" w:cs="Arial"/>
                      <w:color w:val="333333"/>
                      <w:kern w:val="0"/>
                      <w:sz w:val="18"/>
                      <w:szCs w:val="18"/>
                    </w:rPr>
                    <w:t>200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-300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人天执行。以通讯形式组织的专家咨询，专家咨询费的开支一般参照高级专业技术职称人员</w:t>
                  </w:r>
                  <w:r w:rsidRPr="00A45F66">
                    <w:rPr>
                      <w:rFonts w:ascii="Arial" w:eastAsia="宋体" w:hAnsi="Arial" w:cs="Arial"/>
                      <w:color w:val="333333"/>
                      <w:kern w:val="0"/>
                      <w:sz w:val="18"/>
                      <w:szCs w:val="18"/>
                    </w:rPr>
                    <w:t>60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-100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人次、其他专业技术一般人员</w:t>
                  </w:r>
                  <w:r w:rsidRPr="00A45F66">
                    <w:rPr>
                      <w:rFonts w:ascii="Arial" w:eastAsia="宋体" w:hAnsi="Arial" w:cs="Arial"/>
                      <w:color w:val="333333"/>
                      <w:kern w:val="0"/>
                      <w:sz w:val="18"/>
                      <w:szCs w:val="18"/>
                    </w:rPr>
                    <w:t>40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-80</w:t>
                  </w:r>
                  <w:r w:rsidRPr="00A45F66">
                    <w:rPr>
                      <w:rFonts w:ascii="Arial" w:eastAsia="宋体" w:hAnsi="Arial" w:cs="Arial"/>
                      <w:color w:val="333333"/>
                      <w:kern w:val="0"/>
                      <w:sz w:val="18"/>
                      <w:szCs w:val="18"/>
                    </w:rPr>
                    <w:t>元</w:t>
                  </w:r>
                  <w:r w:rsidRPr="00A45F66">
                    <w:rPr>
                      <w:rFonts w:ascii="Arial" w:eastAsia="宋体" w:hAnsi="Arial" w:cs="Arial"/>
                      <w:color w:val="333333"/>
                      <w:kern w:val="0"/>
                      <w:sz w:val="18"/>
                      <w:szCs w:val="18"/>
                    </w:rPr>
                    <w:t>/</w:t>
                  </w:r>
                  <w:r w:rsidRPr="00A45F66">
                    <w:rPr>
                      <w:rFonts w:ascii="Arial" w:eastAsia="宋体" w:hAnsi="Arial" w:cs="Arial"/>
                      <w:color w:val="333333"/>
                      <w:kern w:val="0"/>
                      <w:sz w:val="18"/>
                      <w:szCs w:val="18"/>
                    </w:rPr>
                    <w:t>人次的标准执行。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专项经费不得开支有工资性收入的人员工资、奖金、津补贴和福利支出，不得开支罚款、捐赠、赞助、投资等，严禁以任何方式牟取私利。</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br/>
                  </w:r>
                  <w:r w:rsidRPr="00A45F66">
                    <w:rPr>
                      <w:rFonts w:ascii="Arial" w:eastAsia="宋体" w:hAnsi="Arial" w:cs="Arial"/>
                      <w:b/>
                      <w:bCs/>
                      <w:color w:val="333333"/>
                      <w:kern w:val="0"/>
                      <w:sz w:val="18"/>
                    </w:rPr>
                    <w:t>第三章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预算管理</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第八条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专项经费预算编制和下达程序：</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（一）市科委根据评估结果和年度考核，确定重点实验室的专项经费资助额度。市科委将评估结果和专项经费资助额度计划报送市财政局。</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（二）重点实验室在市科委发布评估结果后两个月内，当年参加评估（不含建设期）的重点实验室编制专项经费使用工作计划（含经费预算）。工作计划编报年限为三年，并分解到每一年度。</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重点实验室应当按照研究方向和发展目标，结合基础条件和人员队伍现状等，以形成各具特色的研究实验体系为目标，根据实际需求和预计可以完成的工作量，区分轻重缓急，科学合理、实事求是地进行编制。</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（三）重点实验室编制的专项经费使用工作计划由依托单位报上级主管部门审核，汇总后报送市科委和市财政局。</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依托单位超过一个的重点实验室应统一编制总体工作计划，再分解到重点实验室各组成部分，经各自依托单位审核后报送至第一依托单位，由第一依托单位报上级主管部门审核汇总后报送市科委和市财政局。</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（四）市科委和市财政局审定专项经费使用工作计划后，由市科委与依托单位签订合同，市财政局将专项经费预算下达到依托单位。</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第九条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购置价值超过</w:t>
                  </w:r>
                  <w:r w:rsidRPr="00A45F66">
                    <w:rPr>
                      <w:rFonts w:ascii="Arial" w:eastAsia="宋体" w:hAnsi="Arial" w:cs="Arial"/>
                      <w:color w:val="333333"/>
                      <w:kern w:val="0"/>
                      <w:sz w:val="18"/>
                      <w:szCs w:val="18"/>
                    </w:rPr>
                    <w:t>50</w:t>
                  </w:r>
                  <w:r w:rsidRPr="00A45F66">
                    <w:rPr>
                      <w:rFonts w:ascii="Arial" w:eastAsia="宋体" w:hAnsi="Arial" w:cs="Arial"/>
                      <w:color w:val="333333"/>
                      <w:kern w:val="0"/>
                      <w:sz w:val="18"/>
                      <w:szCs w:val="18"/>
                    </w:rPr>
                    <w:t>万元以上的单台或成套仪器设备，按照《上海市新购大型科学仪器设备联合评议工作管理办法（试行）》〔沪科合（</w:t>
                  </w:r>
                  <w:r w:rsidRPr="00A45F66">
                    <w:rPr>
                      <w:rFonts w:ascii="Arial" w:eastAsia="宋体" w:hAnsi="Arial" w:cs="Arial"/>
                      <w:color w:val="333333"/>
                      <w:kern w:val="0"/>
                      <w:sz w:val="18"/>
                      <w:szCs w:val="18"/>
                    </w:rPr>
                    <w:t>2005</w:t>
                  </w:r>
                  <w:r w:rsidRPr="00A45F66">
                    <w:rPr>
                      <w:rFonts w:ascii="Arial" w:eastAsia="宋体" w:hAnsi="Arial" w:cs="Arial"/>
                      <w:color w:val="333333"/>
                      <w:kern w:val="0"/>
                      <w:sz w:val="18"/>
                      <w:szCs w:val="18"/>
                    </w:rPr>
                    <w:t>）第</w:t>
                  </w:r>
                  <w:r w:rsidRPr="00A45F66">
                    <w:rPr>
                      <w:rFonts w:ascii="Arial" w:eastAsia="宋体" w:hAnsi="Arial" w:cs="Arial"/>
                      <w:color w:val="333333"/>
                      <w:kern w:val="0"/>
                      <w:sz w:val="18"/>
                      <w:szCs w:val="18"/>
                    </w:rPr>
                    <w:t>013</w:t>
                  </w:r>
                  <w:r w:rsidRPr="00A45F66">
                    <w:rPr>
                      <w:rFonts w:ascii="Arial" w:eastAsia="宋体" w:hAnsi="Arial" w:cs="Arial"/>
                      <w:color w:val="333333"/>
                      <w:kern w:val="0"/>
                      <w:sz w:val="18"/>
                      <w:szCs w:val="18"/>
                    </w:rPr>
                    <w:t>号〕执行。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已获批准建设但尚未通过验收，已获验收但尚未参加评估的重点实验室，在建设和运行期间所需运行经费，由依托单位解决。</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第十一条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鼓励其他渠道的经费投入重点实验室建设和运行，同时应当注意与专项经费支持内容有效衔接，避免交叉重复。</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br/>
                  </w:r>
                  <w:r w:rsidRPr="00A45F66">
                    <w:rPr>
                      <w:rFonts w:ascii="Arial" w:eastAsia="宋体" w:hAnsi="Arial" w:cs="Arial"/>
                      <w:b/>
                      <w:bCs/>
                      <w:color w:val="333333"/>
                      <w:kern w:val="0"/>
                      <w:sz w:val="18"/>
                    </w:rPr>
                    <w:t>第四章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预算执行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第十二条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重点实验室应当严格按照下达的经费预算执行，一般不予调整。确有必要调整的，由依托单位申请，报上级主管部门审核后，市科委批准，双方修改合同。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第十三条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专项经费支出属于政府采购范围的，应按照《政府采购法》及政府采购的有关规定执行。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第十四条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使用专项经费形成的固定资产、无形资产等属于国有资产，按照国家国有资产管理有关规定进行管理。专项经费形成的大型科学仪器设备、科学数据、自然科技资源等，按照规定开放共享，提高资源使用效率。</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lastRenderedPageBreak/>
                    <w:t>第十五条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专项经费的年度结余经费，按照财政部关于财政拨款结余资金管理的有关规定执行。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第十六条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专项经费决算纳入重点实验室的依托单位和上级主管部门决算编制。</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br/>
                  </w:r>
                  <w:r w:rsidRPr="00A45F66">
                    <w:rPr>
                      <w:rFonts w:ascii="Arial" w:eastAsia="宋体" w:hAnsi="Arial" w:cs="Arial"/>
                      <w:b/>
                      <w:bCs/>
                      <w:color w:val="333333"/>
                      <w:kern w:val="0"/>
                      <w:sz w:val="18"/>
                    </w:rPr>
                    <w:t>第五章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监督检查与绩效评价</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第十七条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依托单位应当加强对专项经费管理使用的监督检查，并将有关情况及时向市财政局、市科委。</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第十八条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依托单位应当建立健全专项经费内部管理机制，制定内部管理办法，将专项经费纳入依托单位财务统一管理，单独核算，专款专用。</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第十九条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市财政局、市科委采取年度抽查的方式，对专项经费执行情况进行监督检查。经费执行情况与重点实验室三年评估时间相衔接，有关内容包含在后者之中，其结果作为预算安排的重要依据之一。</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对依托单位配套经费未全部落实的，市科委予以督促；对仍不落实的，市财政局延缓、暂停或终止对重点实验室专项经费的拨付。</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第二十条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对于违反规定管理和使用专项经费的，按照《财政违法行为处罚处分条例》（国务院令第</w:t>
                  </w:r>
                  <w:r w:rsidRPr="00A45F66">
                    <w:rPr>
                      <w:rFonts w:ascii="Arial" w:eastAsia="宋体" w:hAnsi="Arial" w:cs="Arial"/>
                      <w:color w:val="333333"/>
                      <w:kern w:val="0"/>
                      <w:sz w:val="18"/>
                      <w:szCs w:val="18"/>
                    </w:rPr>
                    <w:t>427</w:t>
                  </w:r>
                  <w:r w:rsidRPr="00A45F66">
                    <w:rPr>
                      <w:rFonts w:ascii="Arial" w:eastAsia="宋体" w:hAnsi="Arial" w:cs="Arial"/>
                      <w:color w:val="333333"/>
                      <w:kern w:val="0"/>
                      <w:sz w:val="18"/>
                      <w:szCs w:val="18"/>
                    </w:rPr>
                    <w:t>号）有关规定执行。</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br/>
                  </w:r>
                  <w:r w:rsidRPr="00A45F66">
                    <w:rPr>
                      <w:rFonts w:ascii="Arial" w:eastAsia="宋体" w:hAnsi="Arial" w:cs="Arial"/>
                      <w:b/>
                      <w:bCs/>
                      <w:color w:val="333333"/>
                      <w:kern w:val="0"/>
                      <w:sz w:val="18"/>
                    </w:rPr>
                    <w:t>第六章</w:t>
                  </w:r>
                  <w:r w:rsidRPr="00A45F66">
                    <w:rPr>
                      <w:rFonts w:ascii="Arial" w:eastAsia="宋体" w:hAnsi="Arial" w:cs="Arial"/>
                      <w:b/>
                      <w:bCs/>
                      <w:color w:val="333333"/>
                      <w:kern w:val="0"/>
                      <w:sz w:val="18"/>
                    </w:rPr>
                    <w:t xml:space="preserve"> </w:t>
                  </w:r>
                  <w:r w:rsidRPr="00A45F66">
                    <w:rPr>
                      <w:rFonts w:ascii="Arial" w:eastAsia="宋体" w:hAnsi="Arial" w:cs="Arial"/>
                      <w:b/>
                      <w:bCs/>
                      <w:color w:val="333333"/>
                      <w:kern w:val="0"/>
                      <w:sz w:val="18"/>
                    </w:rPr>
                    <w:t>附则</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第二十一条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本办法由市财政局、市科委负责解释。</w:t>
                  </w:r>
                  <w:r w:rsidRPr="00A45F66">
                    <w:rPr>
                      <w:rFonts w:ascii="Arial" w:eastAsia="宋体" w:hAnsi="Arial" w:cs="Arial"/>
                      <w:color w:val="333333"/>
                      <w:kern w:val="0"/>
                      <w:sz w:val="18"/>
                      <w:szCs w:val="18"/>
                    </w:rPr>
                    <w:br/>
                  </w:r>
                  <w:r w:rsidRPr="00A45F66">
                    <w:rPr>
                      <w:rFonts w:ascii="Arial" w:eastAsia="宋体" w:hAnsi="Arial" w:cs="Arial"/>
                      <w:color w:val="333333"/>
                      <w:kern w:val="0"/>
                      <w:sz w:val="18"/>
                      <w:szCs w:val="18"/>
                    </w:rPr>
                    <w:t>第二十二条</w:t>
                  </w:r>
                  <w:r w:rsidRPr="00A45F66">
                    <w:rPr>
                      <w:rFonts w:ascii="Arial" w:eastAsia="宋体" w:hAnsi="Arial" w:cs="Arial"/>
                      <w:color w:val="333333"/>
                      <w:kern w:val="0"/>
                      <w:sz w:val="18"/>
                      <w:szCs w:val="18"/>
                    </w:rPr>
                    <w:t xml:space="preserve"> </w:t>
                  </w:r>
                  <w:r w:rsidRPr="00A45F66">
                    <w:rPr>
                      <w:rFonts w:ascii="Arial" w:eastAsia="宋体" w:hAnsi="Arial" w:cs="Arial"/>
                      <w:color w:val="333333"/>
                      <w:kern w:val="0"/>
                      <w:sz w:val="18"/>
                      <w:szCs w:val="18"/>
                    </w:rPr>
                    <w:t>本办法自发布之日起实施。</w:t>
                  </w:r>
                </w:p>
              </w:tc>
            </w:tr>
          </w:tbl>
          <w:p w:rsidR="00A45F66" w:rsidRPr="00A45F66" w:rsidRDefault="00A45F66" w:rsidP="00A45F66">
            <w:pPr>
              <w:widowControl/>
              <w:jc w:val="left"/>
              <w:rPr>
                <w:rFonts w:ascii="Arial" w:eastAsia="宋体" w:hAnsi="Arial" w:cs="Arial"/>
                <w:color w:val="333333"/>
                <w:kern w:val="0"/>
                <w:szCs w:val="21"/>
              </w:rPr>
            </w:pPr>
          </w:p>
        </w:tc>
      </w:tr>
    </w:tbl>
    <w:p w:rsidR="00D62E77" w:rsidRDefault="00D62E77">
      <w:pPr>
        <w:rPr>
          <w:rFonts w:hint="eastAsia"/>
        </w:rPr>
      </w:pPr>
    </w:p>
    <w:sectPr w:rsidR="00D62E77" w:rsidSect="00D62E7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45F66"/>
    <w:rsid w:val="00A45F66"/>
    <w:rsid w:val="00D62E7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62E7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45F66"/>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45F66"/>
    <w:rPr>
      <w:b/>
      <w:bCs/>
    </w:rPr>
  </w:style>
</w:styles>
</file>

<file path=word/webSettings.xml><?xml version="1.0" encoding="utf-8"?>
<w:webSettings xmlns:r="http://schemas.openxmlformats.org/officeDocument/2006/relationships" xmlns:w="http://schemas.openxmlformats.org/wordprocessingml/2006/main">
  <w:divs>
    <w:div w:id="1185829670">
      <w:bodyDiv w:val="1"/>
      <w:marLeft w:val="0"/>
      <w:marRight w:val="0"/>
      <w:marTop w:val="0"/>
      <w:marBottom w:val="0"/>
      <w:divBdr>
        <w:top w:val="none" w:sz="0" w:space="0" w:color="auto"/>
        <w:left w:val="none" w:sz="0" w:space="0" w:color="auto"/>
        <w:bottom w:val="none" w:sz="0" w:space="0" w:color="auto"/>
        <w:right w:val="none" w:sz="0" w:space="0" w:color="auto"/>
      </w:divBdr>
      <w:divsChild>
        <w:div w:id="2078437242">
          <w:marLeft w:val="0"/>
          <w:marRight w:val="0"/>
          <w:marTop w:val="0"/>
          <w:marBottom w:val="0"/>
          <w:divBdr>
            <w:top w:val="none" w:sz="0" w:space="0" w:color="auto"/>
            <w:left w:val="none" w:sz="0" w:space="0" w:color="auto"/>
            <w:bottom w:val="none" w:sz="0" w:space="0" w:color="auto"/>
            <w:right w:val="none" w:sz="0" w:space="0" w:color="auto"/>
          </w:divBdr>
          <w:divsChild>
            <w:div w:id="693112382">
              <w:marLeft w:val="0"/>
              <w:marRight w:val="0"/>
              <w:marTop w:val="0"/>
              <w:marBottom w:val="0"/>
              <w:divBdr>
                <w:top w:val="none" w:sz="0" w:space="0" w:color="auto"/>
                <w:left w:val="none" w:sz="0" w:space="0" w:color="auto"/>
                <w:bottom w:val="none" w:sz="0" w:space="0" w:color="auto"/>
                <w:right w:val="none" w:sz="0" w:space="0" w:color="auto"/>
              </w:divBdr>
              <w:divsChild>
                <w:div w:id="1618180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497</Words>
  <Characters>2838</Characters>
  <Application>Microsoft Office Word</Application>
  <DocSecurity>0</DocSecurity>
  <Lines>23</Lines>
  <Paragraphs>6</Paragraphs>
  <ScaleCrop>false</ScaleCrop>
  <Company/>
  <LinksUpToDate>false</LinksUpToDate>
  <CharactersWithSpaces>3329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2014-11-26T06:48:00Z</dcterms:created>
  <dcterms:modified xsi:type="dcterms:W3CDTF">2014-11-26T06:48:00Z</dcterms:modified>
</cp:coreProperties>
</file>