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80681">
      <w:pPr>
        <w:spacing w:before="200" w:after="240" w:line="276" w:lineRule="auto"/>
        <w:jc w:val="center"/>
        <w:rPr>
          <w:rFonts w:hint="default" w:ascii="Times New Roman" w:hAnsi="Times New Roman" w:eastAsia="宋体" w:cs="Times New Roman"/>
        </w:rPr>
      </w:pPr>
      <w:r>
        <w:rPr>
          <w:rFonts w:hint="default" w:ascii="Times New Roman" w:hAnsi="Times New Roman" w:eastAsia="宋体" w:cs="Times New Roman"/>
          <w:b/>
          <w:sz w:val="38"/>
        </w:rPr>
        <w:t>关于推荐王有基申报2026年度</w:t>
      </w:r>
      <w:r>
        <w:rPr>
          <w:rFonts w:hint="default" w:ascii="Times New Roman" w:hAnsi="Times New Roman" w:eastAsia="宋体" w:cs="Times New Roman"/>
          <w:b/>
          <w:sz w:val="38"/>
        </w:rPr>
        <w:br w:type="textWrapping"/>
      </w:r>
      <w:r>
        <w:rPr>
          <w:rFonts w:hint="default" w:ascii="Times New Roman" w:hAnsi="Times New Roman" w:eastAsia="宋体" w:cs="Times New Roman"/>
          <w:b/>
          <w:sz w:val="38"/>
        </w:rPr>
        <w:t>自然资源科学技术奖（青年科技奖）的公示</w:t>
      </w:r>
    </w:p>
    <w:p w14:paraId="55B02329">
      <w:pPr>
        <w:spacing w:before="0" w:after="4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根据2026年度自然资源科学技术奖推荐工作有关要求，现将拟推荐王有基申报自然资源科学技术奖青年科技奖的有关信息予以公示。</w:t>
      </w:r>
    </w:p>
    <w:p w14:paraId="5C7B8500">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一、被推荐人基本信息</w:t>
      </w:r>
    </w:p>
    <w:p w14:paraId="20774F7D">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姓名：</w:t>
      </w:r>
      <w:r>
        <w:rPr>
          <w:rFonts w:hint="default" w:ascii="Times New Roman" w:hAnsi="Times New Roman" w:eastAsia="宋体" w:cs="Times New Roman"/>
          <w:sz w:val="23"/>
        </w:rPr>
        <w:t>王有基</w:t>
      </w:r>
    </w:p>
    <w:p w14:paraId="67C5AFFD">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性别：</w:t>
      </w:r>
      <w:r>
        <w:rPr>
          <w:rFonts w:hint="default" w:ascii="Times New Roman" w:hAnsi="Times New Roman" w:eastAsia="宋体" w:cs="Times New Roman"/>
          <w:sz w:val="23"/>
        </w:rPr>
        <w:t>男</w:t>
      </w:r>
    </w:p>
    <w:p w14:paraId="086B2941">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出生年月：</w:t>
      </w:r>
      <w:r>
        <w:rPr>
          <w:rFonts w:hint="default" w:ascii="Times New Roman" w:hAnsi="Times New Roman" w:eastAsia="宋体" w:cs="Times New Roman"/>
          <w:sz w:val="23"/>
        </w:rPr>
        <w:t>1981年6月</w:t>
      </w:r>
    </w:p>
    <w:p w14:paraId="5F6BC4DE">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工作单位：</w:t>
      </w:r>
      <w:r>
        <w:rPr>
          <w:rFonts w:hint="default" w:ascii="Times New Roman" w:hAnsi="Times New Roman" w:eastAsia="宋体" w:cs="Times New Roman"/>
          <w:sz w:val="23"/>
        </w:rPr>
        <w:t>上海海洋大学</w:t>
      </w:r>
    </w:p>
    <w:p w14:paraId="5F3CEEF7">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技术职称：</w:t>
      </w:r>
      <w:r>
        <w:rPr>
          <w:rFonts w:hint="default" w:ascii="Times New Roman" w:hAnsi="Times New Roman" w:eastAsia="宋体" w:cs="Times New Roman"/>
          <w:sz w:val="23"/>
        </w:rPr>
        <w:t>教授</w:t>
      </w:r>
    </w:p>
    <w:p w14:paraId="7D2C7C99">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学历学位：</w:t>
      </w:r>
      <w:r>
        <w:rPr>
          <w:rFonts w:hint="default" w:ascii="Times New Roman" w:hAnsi="Times New Roman" w:eastAsia="宋体" w:cs="Times New Roman"/>
          <w:sz w:val="23"/>
        </w:rPr>
        <w:t>研究生、博士</w:t>
      </w:r>
    </w:p>
    <w:p w14:paraId="26D7EE38">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专业专长：</w:t>
      </w:r>
      <w:r>
        <w:rPr>
          <w:rFonts w:hint="default" w:ascii="Times New Roman" w:hAnsi="Times New Roman" w:eastAsia="宋体" w:cs="Times New Roman"/>
          <w:sz w:val="23"/>
        </w:rPr>
        <w:t>海洋生物学、水产养殖</w:t>
      </w:r>
    </w:p>
    <w:p w14:paraId="7897F1FB">
      <w:pPr>
        <w:spacing w:after="0" w:line="276" w:lineRule="auto"/>
        <w:rPr>
          <w:rFonts w:hint="default" w:ascii="Times New Roman" w:hAnsi="Times New Roman" w:eastAsia="宋体" w:cs="Times New Roman"/>
        </w:rPr>
      </w:pPr>
      <w:r>
        <w:rPr>
          <w:rFonts w:hint="default" w:ascii="Times New Roman" w:hAnsi="Times New Roman" w:eastAsia="宋体" w:cs="Times New Roman"/>
          <w:b/>
          <w:sz w:val="23"/>
        </w:rPr>
        <w:t>推荐单位：</w:t>
      </w:r>
      <w:r>
        <w:rPr>
          <w:rFonts w:hint="default" w:ascii="Times New Roman" w:hAnsi="Times New Roman" w:eastAsia="宋体" w:cs="Times New Roman"/>
          <w:sz w:val="23"/>
        </w:rPr>
        <w:t>上海海洋大学</w:t>
      </w:r>
    </w:p>
    <w:p w14:paraId="138C2522">
      <w:pPr>
        <w:spacing w:after="40" w:line="360" w:lineRule="auto"/>
        <w:ind w:firstLine="0"/>
        <w:jc w:val="both"/>
        <w:rPr>
          <w:rFonts w:hint="default" w:ascii="Times New Roman" w:hAnsi="Times New Roman" w:eastAsia="宋体" w:cs="Times New Roman"/>
        </w:rPr>
      </w:pPr>
      <w:r>
        <w:rPr>
          <w:rFonts w:hint="default" w:ascii="Times New Roman" w:hAnsi="Times New Roman" w:eastAsia="宋体" w:cs="Times New Roman"/>
          <w:b/>
          <w:sz w:val="24"/>
        </w:rPr>
        <w:t>获奖情况：</w:t>
      </w:r>
      <w:r>
        <w:rPr>
          <w:rFonts w:hint="default" w:ascii="Times New Roman" w:hAnsi="Times New Roman" w:eastAsia="宋体" w:cs="Times New Roman"/>
          <w:sz w:val="24"/>
        </w:rPr>
        <w:t>曾获中国技术市场协会金桥奖第三届三农科技服务金桥奖（先进个人）、2020年度上海海洋科学技术奖青年科技创新奖、2019年度上海市科技进步奖二等奖“厚壳贻贝种苗繁育与生态养殖关键技术”（排名第2）、2019年度上海市浦东新区科技进步奖一等奖“厚壳贻贝种苗繁育与生态养殖关键技术”（排名第2）、2018年度海洋工程科学技术奖二等奖“污染物对重要海洋经济生物早期生活史的毒理效应与生态风险评估”（排名第3）。</w:t>
      </w:r>
    </w:p>
    <w:p w14:paraId="1F777746">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二、代表性成果基本情况</w:t>
      </w:r>
    </w:p>
    <w:tbl>
      <w:tblPr>
        <w:tblStyle w:val="32"/>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top w:w="0" w:type="dxa"/>
          <w:left w:w="108" w:type="dxa"/>
          <w:bottom w:w="0" w:type="dxa"/>
          <w:right w:w="108" w:type="dxa"/>
        </w:tblCellMar>
      </w:tblPr>
      <w:tblGrid>
        <w:gridCol w:w="4564"/>
        <w:gridCol w:w="4564"/>
      </w:tblGrid>
      <w:tr w14:paraId="6BF9FBB5">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6FD468C7">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成果名称</w:t>
            </w:r>
          </w:p>
        </w:tc>
        <w:tc>
          <w:tcPr>
            <w:tcW w:w="6803" w:type="dxa"/>
            <w:tcMar>
              <w:top w:w="65" w:type="dxa"/>
              <w:left w:w="70" w:type="dxa"/>
              <w:bottom w:w="65" w:type="dxa"/>
              <w:right w:w="70" w:type="dxa"/>
            </w:tcMar>
            <w:vAlign w:val="center"/>
          </w:tcPr>
          <w:p w14:paraId="61488BF2">
            <w:pPr>
              <w:spacing w:after="0"/>
              <w:jc w:val="left"/>
              <w:rPr>
                <w:rFonts w:hint="default" w:ascii="Times New Roman" w:hAnsi="Times New Roman" w:eastAsia="宋体" w:cs="Times New Roman"/>
              </w:rPr>
            </w:pPr>
            <w:r>
              <w:rPr>
                <w:rFonts w:hint="default" w:ascii="Times New Roman" w:hAnsi="Times New Roman" w:eastAsia="宋体" w:cs="Times New Roman"/>
                <w:sz w:val="21"/>
              </w:rPr>
              <w:t>纳米颗粒与多元环境变化耦合对贝类生理生态效应研究</w:t>
            </w:r>
          </w:p>
        </w:tc>
      </w:tr>
      <w:tr w14:paraId="1CED7D10">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46C7F77F">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主要完成单位</w:t>
            </w:r>
          </w:p>
        </w:tc>
        <w:tc>
          <w:tcPr>
            <w:tcW w:w="6803" w:type="dxa"/>
            <w:tcMar>
              <w:top w:w="65" w:type="dxa"/>
              <w:left w:w="70" w:type="dxa"/>
              <w:bottom w:w="65" w:type="dxa"/>
              <w:right w:w="70" w:type="dxa"/>
            </w:tcMar>
            <w:vAlign w:val="center"/>
          </w:tcPr>
          <w:p w14:paraId="0A2E5D55">
            <w:pPr>
              <w:spacing w:after="0"/>
              <w:jc w:val="left"/>
              <w:rPr>
                <w:rFonts w:hint="default" w:ascii="Times New Roman" w:hAnsi="Times New Roman" w:eastAsia="宋体" w:cs="Times New Roman"/>
              </w:rPr>
            </w:pPr>
            <w:r>
              <w:rPr>
                <w:rFonts w:hint="default" w:ascii="Times New Roman" w:hAnsi="Times New Roman" w:eastAsia="宋体" w:cs="Times New Roman"/>
                <w:sz w:val="21"/>
              </w:rPr>
              <w:t>上海海洋大学</w:t>
            </w:r>
          </w:p>
        </w:tc>
      </w:tr>
      <w:tr w14:paraId="3F2CE232">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74ADE805">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学科分类</w:t>
            </w:r>
          </w:p>
        </w:tc>
        <w:tc>
          <w:tcPr>
            <w:tcW w:w="6803" w:type="dxa"/>
            <w:tcMar>
              <w:top w:w="65" w:type="dxa"/>
              <w:left w:w="70" w:type="dxa"/>
              <w:bottom w:w="65" w:type="dxa"/>
              <w:right w:w="70" w:type="dxa"/>
            </w:tcMar>
            <w:vAlign w:val="center"/>
          </w:tcPr>
          <w:p w14:paraId="3B0D0E4E">
            <w:pPr>
              <w:spacing w:after="0"/>
              <w:jc w:val="left"/>
              <w:rPr>
                <w:rFonts w:hint="default" w:ascii="Times New Roman" w:hAnsi="Times New Roman" w:eastAsia="宋体" w:cs="Times New Roman"/>
              </w:rPr>
            </w:pPr>
            <w:r>
              <w:rPr>
                <w:rFonts w:hint="default" w:ascii="Times New Roman" w:hAnsi="Times New Roman" w:eastAsia="宋体" w:cs="Times New Roman"/>
                <w:sz w:val="21"/>
              </w:rPr>
              <w:t>环境毒理学（6101040）；海洋生物学（1706040）；环境海洋学（1706070）</w:t>
            </w:r>
          </w:p>
        </w:tc>
      </w:tr>
      <w:tr w14:paraId="04B15902">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4669E896">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所属国民经济行业</w:t>
            </w:r>
          </w:p>
        </w:tc>
        <w:tc>
          <w:tcPr>
            <w:tcW w:w="6803" w:type="dxa"/>
            <w:tcMar>
              <w:top w:w="65" w:type="dxa"/>
              <w:left w:w="70" w:type="dxa"/>
              <w:bottom w:w="65" w:type="dxa"/>
              <w:right w:w="70" w:type="dxa"/>
            </w:tcMar>
            <w:vAlign w:val="center"/>
          </w:tcPr>
          <w:p w14:paraId="4E60B7C8">
            <w:pPr>
              <w:spacing w:after="0"/>
              <w:jc w:val="left"/>
              <w:rPr>
                <w:rFonts w:hint="default" w:ascii="Times New Roman" w:hAnsi="Times New Roman" w:eastAsia="宋体" w:cs="Times New Roman"/>
              </w:rPr>
            </w:pPr>
            <w:r>
              <w:rPr>
                <w:rFonts w:hint="default" w:ascii="Times New Roman" w:hAnsi="Times New Roman" w:eastAsia="宋体" w:cs="Times New Roman"/>
                <w:sz w:val="21"/>
              </w:rPr>
              <w:t>农、林、牧、渔业</w:t>
            </w:r>
          </w:p>
        </w:tc>
      </w:tr>
      <w:tr w14:paraId="51BF5F5E">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55D9F731">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任务来源</w:t>
            </w:r>
          </w:p>
        </w:tc>
        <w:tc>
          <w:tcPr>
            <w:tcW w:w="6803" w:type="dxa"/>
            <w:tcMar>
              <w:top w:w="65" w:type="dxa"/>
              <w:left w:w="70" w:type="dxa"/>
              <w:bottom w:w="65" w:type="dxa"/>
              <w:right w:w="70" w:type="dxa"/>
            </w:tcMar>
            <w:vAlign w:val="center"/>
          </w:tcPr>
          <w:p w14:paraId="0E3B28EA">
            <w:pPr>
              <w:spacing w:after="0"/>
              <w:jc w:val="left"/>
              <w:rPr>
                <w:rFonts w:hint="default" w:ascii="Times New Roman" w:hAnsi="Times New Roman" w:eastAsia="宋体" w:cs="Times New Roman"/>
              </w:rPr>
            </w:pPr>
            <w:r>
              <w:rPr>
                <w:rFonts w:hint="default" w:ascii="Times New Roman" w:hAnsi="Times New Roman" w:eastAsia="宋体" w:cs="Times New Roman"/>
                <w:sz w:val="21"/>
              </w:rPr>
              <w:t>省、市、自治区计划；国家自然科学基金；其他</w:t>
            </w:r>
          </w:p>
        </w:tc>
      </w:tr>
      <w:tr w14:paraId="70A52820">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0C8CA43A">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知识产权情况</w:t>
            </w:r>
          </w:p>
        </w:tc>
        <w:tc>
          <w:tcPr>
            <w:tcW w:w="6803" w:type="dxa"/>
            <w:tcMar>
              <w:top w:w="65" w:type="dxa"/>
              <w:left w:w="70" w:type="dxa"/>
              <w:bottom w:w="65" w:type="dxa"/>
              <w:right w:w="70" w:type="dxa"/>
            </w:tcMar>
            <w:vAlign w:val="center"/>
          </w:tcPr>
          <w:p w14:paraId="054C8921">
            <w:pPr>
              <w:spacing w:after="0"/>
              <w:jc w:val="left"/>
              <w:rPr>
                <w:rFonts w:hint="default" w:ascii="Times New Roman" w:hAnsi="Times New Roman" w:eastAsia="宋体" w:cs="Times New Roman"/>
              </w:rPr>
            </w:pPr>
            <w:r>
              <w:rPr>
                <w:rFonts w:hint="default" w:ascii="Times New Roman" w:hAnsi="Times New Roman" w:eastAsia="宋体" w:cs="Times New Roman"/>
                <w:sz w:val="21"/>
              </w:rPr>
              <w:t>授权发明专利3项，授权的其他知识产权5项</w:t>
            </w:r>
          </w:p>
        </w:tc>
      </w:tr>
      <w:tr w14:paraId="08C0CDF1">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jc w:val="center"/>
        </w:trPr>
        <w:tc>
          <w:tcPr>
            <w:tcW w:w="2268" w:type="dxa"/>
            <w:shd w:val="clear" w:color="auto" w:fill="F2F2F2"/>
            <w:tcMar>
              <w:top w:w="65" w:type="dxa"/>
              <w:left w:w="70" w:type="dxa"/>
              <w:bottom w:w="65" w:type="dxa"/>
              <w:right w:w="70" w:type="dxa"/>
            </w:tcMar>
            <w:vAlign w:val="center"/>
          </w:tcPr>
          <w:p w14:paraId="3D32DAB1">
            <w:pPr>
              <w:spacing w:after="0"/>
              <w:jc w:val="center"/>
              <w:rPr>
                <w:rFonts w:hint="default" w:ascii="Times New Roman" w:hAnsi="Times New Roman" w:eastAsia="宋体" w:cs="Times New Roman"/>
              </w:rPr>
            </w:pPr>
            <w:r>
              <w:rPr>
                <w:rFonts w:hint="default" w:ascii="Times New Roman" w:hAnsi="Times New Roman" w:eastAsia="宋体" w:cs="Times New Roman"/>
                <w:b/>
                <w:sz w:val="21"/>
              </w:rPr>
              <w:t>项目起止时间</w:t>
            </w:r>
          </w:p>
        </w:tc>
        <w:tc>
          <w:tcPr>
            <w:tcW w:w="6803" w:type="dxa"/>
            <w:tcMar>
              <w:top w:w="65" w:type="dxa"/>
              <w:left w:w="70" w:type="dxa"/>
              <w:bottom w:w="65" w:type="dxa"/>
              <w:right w:w="70" w:type="dxa"/>
            </w:tcMar>
            <w:vAlign w:val="center"/>
          </w:tcPr>
          <w:p w14:paraId="2807C9DD">
            <w:pPr>
              <w:spacing w:after="0"/>
              <w:jc w:val="left"/>
              <w:rPr>
                <w:rFonts w:hint="default" w:ascii="Times New Roman" w:hAnsi="Times New Roman" w:eastAsia="宋体" w:cs="Times New Roman"/>
              </w:rPr>
            </w:pPr>
            <w:r>
              <w:rPr>
                <w:rFonts w:hint="default" w:ascii="Times New Roman" w:hAnsi="Times New Roman" w:eastAsia="宋体" w:cs="Times New Roman"/>
                <w:sz w:val="21"/>
              </w:rPr>
              <w:t>2014年1月1日—2023年12月31日</w:t>
            </w:r>
          </w:p>
        </w:tc>
      </w:tr>
    </w:tbl>
    <w:p w14:paraId="39E90575">
      <w:pPr>
        <w:spacing w:after="40" w:line="360" w:lineRule="auto"/>
        <w:ind w:firstLine="0"/>
        <w:jc w:val="both"/>
        <w:rPr>
          <w:rFonts w:hint="default" w:ascii="Times New Roman" w:hAnsi="Times New Roman" w:eastAsia="宋体" w:cs="Times New Roman"/>
        </w:rPr>
      </w:pPr>
      <w:r>
        <w:rPr>
          <w:rFonts w:hint="default" w:ascii="Times New Roman" w:hAnsi="Times New Roman" w:eastAsia="宋体" w:cs="Times New Roman"/>
          <w:b/>
          <w:sz w:val="24"/>
        </w:rPr>
        <w:t>具体计划、基金及项目：</w:t>
      </w:r>
      <w:r>
        <w:rPr>
          <w:rFonts w:hint="default" w:ascii="Times New Roman" w:hAnsi="Times New Roman" w:eastAsia="宋体" w:cs="Times New Roman"/>
          <w:sz w:val="24"/>
        </w:rPr>
        <w:t>国家自然科学基金面上项目“海水酸化和缺氧及其昼夜节律变化对东海两种贻贝复合携带效应的比较研究”（31872587）；国家自然科学基金青年科学基金项目“海水酸化和温度对不同地理种群厚壳贻贝复合胁迫效应的比较研究”（31302207）；上海市浦江人才计划“海洋酸化与微塑料对贻贝早期发育的交互生态生理效应”（18PJ1404000）；上海市自然科学基金“海水酸化和缺氧对厚壳贻贝和紫贻贝复合携带效应的比较研究”（17ZR1412900）。</w:t>
      </w:r>
    </w:p>
    <w:p w14:paraId="5E681BA8">
      <w:pPr>
        <w:spacing w:after="40" w:line="360" w:lineRule="auto"/>
        <w:ind w:firstLine="0"/>
        <w:jc w:val="both"/>
        <w:rPr>
          <w:rFonts w:hint="default" w:ascii="Times New Roman" w:hAnsi="Times New Roman" w:eastAsia="宋体" w:cs="Times New Roman"/>
        </w:rPr>
      </w:pPr>
      <w:r>
        <w:rPr>
          <w:rFonts w:hint="default" w:ascii="Times New Roman" w:hAnsi="Times New Roman" w:eastAsia="宋体" w:cs="Times New Roman"/>
          <w:b/>
          <w:sz w:val="24"/>
        </w:rPr>
        <w:t>被推荐人对该成果的贡献：</w:t>
      </w:r>
      <w:r>
        <w:rPr>
          <w:rFonts w:hint="default" w:ascii="Times New Roman" w:hAnsi="Times New Roman" w:eastAsia="宋体" w:cs="Times New Roman"/>
          <w:sz w:val="24"/>
        </w:rPr>
        <w:t>全面负责研究思路凝练、研究方案设计与组织实施，开展关键实验研究和数据分析，形成主要科学结论并组织研究论文撰写；主持相关基金项目，对申报材料所列第1—3项科技创新均作出实质性贡献。</w:t>
      </w:r>
    </w:p>
    <w:p w14:paraId="4056B677">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三、推荐意见</w:t>
      </w:r>
    </w:p>
    <w:p w14:paraId="388AC43B">
      <w:pPr>
        <w:spacing w:before="0" w:after="0" w:line="379" w:lineRule="auto"/>
        <w:ind w:firstLine="420"/>
        <w:jc w:val="both"/>
        <w:rPr>
          <w:rFonts w:hint="default" w:ascii="Times New Roman" w:hAnsi="Times New Roman" w:eastAsia="宋体" w:cs="Times New Roman"/>
          <w:sz w:val="24"/>
        </w:rPr>
      </w:pPr>
      <w:bookmarkStart w:id="0" w:name="_GoBack"/>
      <w:bookmarkEnd w:id="0"/>
      <w:r>
        <w:rPr>
          <w:rFonts w:hint="default" w:ascii="Times New Roman" w:hAnsi="Times New Roman" w:eastAsia="宋体" w:cs="Times New Roman"/>
          <w:sz w:val="24"/>
        </w:rPr>
        <w:t>纳米颗粒与多元环境变化耦合对贝类生理生态效应研究”以我国近海典型经济贝类（如厚壳贻贝等）为研究对象，系统探究了纳米颗粒（如纳米塑料）与海洋酸化、升温、缺氧等多重环境因子复合胁迫下贝类的摄食、代谢、免疫及行为响应，揭示了纳米污染物与环境变化协同作用对贝类能量收支、氧化应激和种群补充的交互影响机制。这些机制与研究结果为评估人为纳米污染与全球变化叠加背景下海洋底栖动物种群衰退风险提供了前沿理论支撑，并创新性构建了多因子胁迫效应预测模型，受到国际同行的广泛关注与肯定。该成果聚焦贝类对环境复合胁迫的敏感指示与适应边界，成果不仅深化了海洋生态毒理学的基础认知，更可直接服务于沿海环境质量监测、养殖区划管理和海洋生态风险评估，为政府及环保部门制定纳米材料管控政策与应对气候变化的协同治理策略提供重要科学依据，是基础研究与应用需求紧密结合的范例。我单位认真审阅了该成果有关材料，确认全部材料真实有效。参照自然资源科学技术奖授奖条件，同意该成果提名自然资源科学技术奖青年科技奖。</w:t>
      </w:r>
    </w:p>
    <w:p w14:paraId="0886D1F3">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四、成果简介</w:t>
      </w:r>
    </w:p>
    <w:p w14:paraId="3A723519">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近年来，纳米材料广泛应用于工业制造、医药、能源及消费品等领域，其生产、使用和废弃过程使纳米颗粒持续进入河口、近岸及养殖海域。与此同时，全球变暖、海洋酸化、低氧及有机污染等环境压力往往共同存在并相互作用。针对传统生态毒理研究多聚焦单一污染物或单一环境因子的局限，本成果以东海典型养殖贝类，尤其是厚壳贻贝等双壳类为对象，围绕“纳米颗粒—多元环境变化—贝类生理生态响应”这一科学问题，系统研究纳米颗粒与海水酸化、升温、低氧及其他污染物耦合作用下的生物效应，揭示复合环境胁迫影响贝类健康与生态功能的作用机制。</w:t>
      </w:r>
    </w:p>
    <w:p w14:paraId="74AA48E9">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本成果首先从抗氧化防御、血细胞免疫和肠道健康等层面，揭示典型纳米颗粒的毒性效应及环境因子的调节作用。研究发现，纳米二氧化钛、纳米氧化锌等可诱导贝类氧化应激，并影响鳃、消化腺、血细胞、肠道菌群及消化功能；海水酸化、升温等因素可进一步调节其毒性效应。研究明确了鳃、血细胞和肠道等敏感响应靶点，为贝类健康风险识别和近岸海域纳米污染生态效应评价提供了生物学依据。</w:t>
      </w:r>
    </w:p>
    <w:p w14:paraId="6DDCD8FD">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在此基础上，进一步从能量代谢、消化生理和行为生态层面揭示复合胁迫的个体与生态后果。研究表明，海水酸化与纳米颗粒共同作用可降低贝类摄食、消化和能量同化效率，使生长净能下降，严重时出现负生长；同时可削弱足丝附着和反捕食能力，并影响贝—蟹捕食关系，表明复合胁迫效应可由细胞和组织层面延伸至个体行为和生态功能层面。</w:t>
      </w:r>
    </w:p>
    <w:p w14:paraId="6468BABC">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本成果还采用Meta分析、系统综述和文献计量方法，对典型纳米颗粒在双壳类中的毒理效应进行定量整合和系统梳理，归纳颗粒类型、粒径、暴露浓度、环境条件和生物种类等因素的影响规律，从生理、免疫、行为和分子响应等层面总结主要作用机制。</w:t>
      </w:r>
    </w:p>
    <w:p w14:paraId="7CE7F89B">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总体而言，本成果建立了从氧化应激、免疫和肠道微生态到能量代谢、行为响应和种间关系的多层次研究体系，较系统地阐明了纳米颗粒与多元环境变化耦合影响贝类生理生态的过程与机制。研究结果可为近岸海域新污染物生态风险评价、纳米材料环境安全评价及贝类健康养殖提供科学依据。相关成果已应用于养殖环境评价、生态风险识别、耐逆苗种选择和健康养殖环境优化，并在连云港开展应用，实现了相关研究成果向贝类养殖实践的延伸。</w:t>
      </w:r>
    </w:p>
    <w:p w14:paraId="2466BA3D">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五、客观评价</w:t>
      </w:r>
    </w:p>
    <w:p w14:paraId="7D804D3C">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本成果围绕纳米颗粒与海洋酸化、升温及其他环境因素耦合作用对贝类生理生态效应开展系统研究，相关成果发表于Journal of Hazardous Materials、Aquatic Toxicology、Small等国际同行评议期刊，并得到国内外同行引用和公开学术评价。成果的创新性、技术水平及应用价值具有科技查新报告、科技项目咨询报告、公开发表论文及其引用、科技奖励和应用单位证明等客观材料支撑。</w:t>
      </w:r>
    </w:p>
    <w:p w14:paraId="2E43D3DD">
      <w:pPr>
        <w:keepNext/>
        <w:spacing w:before="100" w:after="60" w:line="276" w:lineRule="auto"/>
        <w:jc w:val="left"/>
        <w:rPr>
          <w:rFonts w:hint="default" w:ascii="Times New Roman" w:hAnsi="Times New Roman" w:eastAsia="宋体" w:cs="Times New Roman"/>
        </w:rPr>
      </w:pPr>
      <w:r>
        <w:rPr>
          <w:rFonts w:hint="default" w:ascii="Times New Roman" w:hAnsi="Times New Roman" w:eastAsia="宋体" w:cs="Times New Roman"/>
          <w:b/>
          <w:sz w:val="23"/>
        </w:rPr>
        <w:t>1. 创新性及国内外相关研究比较</w:t>
      </w:r>
    </w:p>
    <w:p w14:paraId="27ABDF05">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2024年7月，中国科学院上海科技查新咨询中心针对“纳米颗粒与多元环境变化耦合对贝类生理生态效应研究”开展科技查新。检索分析表明，国内外已有研究主要涉及人工纳米材料毒性、海洋酸化和全球变暖、低氧、重金属及其他污染物对贝类的生物效应，但多集中于单一污染物、单一环境因子或单一生理终点。科技查新报告将本成果的主要创新概括为“纳米颗粒与环境变化的交互效应”和“贝类生态系统功能的变化”两个方面，并指出经检索未见与本项目设计及采用的关键技术相对应的文献和专利，项目具有新颖性。科技项目咨询报告进一步评价该项目综合技术达到国内领先水平。</w:t>
      </w:r>
    </w:p>
    <w:p w14:paraId="656F6E34">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本成果形成了“颗粒性质与环境变化交互作用—免疫与肠道敏感响应—能量代谢扰动—行为与生态功能变化—综合风险评价”较为完整的研究链条，从血细胞免疫、抗氧化反应和肠道微生态进一步拓展至能量代谢、足丝附着、反捕食行为及贝—蟹种间关系，实现了由细胞和组织水平向个体行为和生态功能的延伸。</w:t>
      </w:r>
    </w:p>
    <w:p w14:paraId="6707A3BD">
      <w:pPr>
        <w:keepNext/>
        <w:spacing w:before="100" w:after="60" w:line="276" w:lineRule="auto"/>
        <w:jc w:val="left"/>
        <w:rPr>
          <w:rFonts w:hint="default" w:ascii="Times New Roman" w:hAnsi="Times New Roman" w:eastAsia="宋体" w:cs="Times New Roman"/>
        </w:rPr>
      </w:pPr>
      <w:r>
        <w:rPr>
          <w:rFonts w:hint="default" w:ascii="Times New Roman" w:hAnsi="Times New Roman" w:eastAsia="宋体" w:cs="Times New Roman"/>
          <w:b/>
          <w:sz w:val="23"/>
        </w:rPr>
        <w:t>2. 国内外同行评价及学术影响</w:t>
      </w:r>
    </w:p>
    <w:p w14:paraId="623D94BB">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成果相关论文受到国内外同行持续关注。其中，发表于Aquatic Toxicology的海水酸化与nano-TiO₂复合胁迫研究，截至申报材料检索时他引次数88次；发表于Journal of Hazardous Materials的nano-ZnO与海水酸化影响贝类反捕食能力研究，他引次数26次；发表于Small的nano-TiO₂对人类和水生动物安全影响综述，他引次数204次。相关成果还被Water Research等期刊论文引用。国家纳米科学与技术研究中心陈春英院士等在Small公开发表的专题述评中，专门评述了申请人关于nano-TiO₂安全性的文献荟萃分析研究，并将其纳入纳米材料安全性评价的国际研究进展。</w:t>
      </w:r>
    </w:p>
    <w:p w14:paraId="56D51DD6">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与本成果研究方向及应用基础相关的研究还曾获得上海市科技进步奖二等奖、上海市浦东新区科技进步奖一等奖、海洋工程科学技术奖二等奖等科技奖励，为相关研究的科学价值和技术应用基础提供了进一步客观佐证。</w:t>
      </w:r>
    </w:p>
    <w:p w14:paraId="0D086B62">
      <w:pPr>
        <w:keepNext/>
        <w:spacing w:before="100" w:after="60" w:line="276" w:lineRule="auto"/>
        <w:jc w:val="left"/>
        <w:rPr>
          <w:rFonts w:hint="default" w:ascii="Times New Roman" w:hAnsi="Times New Roman" w:eastAsia="宋体" w:cs="Times New Roman"/>
        </w:rPr>
      </w:pPr>
      <w:r>
        <w:rPr>
          <w:rFonts w:hint="default" w:ascii="Times New Roman" w:hAnsi="Times New Roman" w:eastAsia="宋体" w:cs="Times New Roman"/>
          <w:b/>
          <w:sz w:val="23"/>
        </w:rPr>
        <w:t>3. 应用效益及经济社会价值</w:t>
      </w:r>
    </w:p>
    <w:p w14:paraId="0C0EA096">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本成果形成的多元环境胁迫效应评价方法及相关研究结论，已应用于贝类养殖环境评价、生态风险识别、耐逆苗种选择和健康养殖环境优化。在江苏连云港的应用中，已建成约2万亩海上生产基地、5000平方米陆地研发基地和约5000亩贝藻培育基地，并配套养殖工船和实验室，形成了涵盖苗种检测、育苗培育、海上养殖和收获等环节的应用体系。</w:t>
      </w:r>
    </w:p>
    <w:p w14:paraId="14B49AFB">
      <w:pPr>
        <w:spacing w:before="0" w:after="0" w:line="379" w:lineRule="auto"/>
        <w:ind w:firstLine="420"/>
        <w:jc w:val="both"/>
        <w:rPr>
          <w:rFonts w:hint="default" w:ascii="Times New Roman" w:hAnsi="Times New Roman" w:eastAsia="宋体" w:cs="Times New Roman"/>
        </w:rPr>
      </w:pPr>
      <w:r>
        <w:rPr>
          <w:rFonts w:hint="default" w:ascii="Times New Roman" w:hAnsi="Times New Roman" w:eastAsia="宋体" w:cs="Times New Roman"/>
          <w:sz w:val="24"/>
        </w:rPr>
        <w:t>据应用单位提供的生产经营数据，近两年相关养殖业务新增销售额约5.6亿元、新增利润近8000万元。上述经济效益由养殖基地建设、苗种繁育、生产管理及相关技术应用等多种因素共同形成，本成果主要在养殖环境评价、生态风险识别、耐逆苗种选择和环境参数优化等方面提供科学依据和技术支撑，不将上述经济效益简单归因于本成果。相关成果同时为贝类耐逆苗种筛选、健康养殖和贝藻多营养级综合养殖提供理论与技术参考，对促进沿海水产养殖绿色化、生态化发展和海洋生态环境保护具有积极意义。</w:t>
      </w:r>
    </w:p>
    <w:p w14:paraId="18B5FB81">
      <w:pPr>
        <w:rPr>
          <w:rFonts w:hint="default" w:ascii="Times New Roman" w:hAnsi="Times New Roman" w:eastAsia="宋体" w:cs="Times New Roman"/>
        </w:rPr>
      </w:pPr>
      <w:r>
        <w:rPr>
          <w:rFonts w:hint="default" w:ascii="Times New Roman" w:hAnsi="Times New Roman" w:eastAsia="宋体" w:cs="Times New Roman"/>
        </w:rPr>
        <w:br w:type="page"/>
      </w:r>
    </w:p>
    <w:p w14:paraId="74BC21A9">
      <w:pPr>
        <w:keepNext/>
        <w:spacing w:before="180" w:after="120" w:line="276" w:lineRule="auto"/>
        <w:jc w:val="left"/>
        <w:rPr>
          <w:rFonts w:hint="default" w:ascii="Times New Roman" w:hAnsi="Times New Roman" w:eastAsia="宋体" w:cs="Times New Roman"/>
        </w:rPr>
      </w:pPr>
      <w:r>
        <w:rPr>
          <w:rFonts w:hint="default" w:ascii="Times New Roman" w:hAnsi="Times New Roman" w:eastAsia="宋体" w:cs="Times New Roman"/>
          <w:b/>
          <w:sz w:val="28"/>
        </w:rPr>
        <w:t>六、代表性论文专著目录</w:t>
      </w:r>
    </w:p>
    <w:tbl>
      <w:tblPr>
        <w:tblStyle w:val="32"/>
        <w:tblW w:w="8919" w:type="dxa"/>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top w:w="0" w:type="dxa"/>
          <w:left w:w="108" w:type="dxa"/>
          <w:bottom w:w="0" w:type="dxa"/>
          <w:right w:w="108" w:type="dxa"/>
        </w:tblCellMar>
      </w:tblPr>
      <w:tblGrid>
        <w:gridCol w:w="991"/>
        <w:gridCol w:w="991"/>
        <w:gridCol w:w="991"/>
        <w:gridCol w:w="991"/>
        <w:gridCol w:w="991"/>
        <w:gridCol w:w="991"/>
        <w:gridCol w:w="991"/>
        <w:gridCol w:w="991"/>
        <w:gridCol w:w="991"/>
      </w:tblGrid>
      <w:tr w14:paraId="35961ED5">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1239" w:hRule="atLeast"/>
          <w:tblHeader/>
          <w:jc w:val="center"/>
        </w:trPr>
        <w:tc>
          <w:tcPr>
            <w:tcW w:w="991" w:type="dxa"/>
            <w:shd w:val="clear" w:color="auto" w:fill="E7E6E6"/>
            <w:tcMar>
              <w:top w:w="45" w:type="dxa"/>
              <w:left w:w="35" w:type="dxa"/>
              <w:bottom w:w="45" w:type="dxa"/>
              <w:right w:w="35" w:type="dxa"/>
            </w:tcMar>
            <w:vAlign w:val="center"/>
          </w:tcPr>
          <w:p w14:paraId="7C9C020E">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序号</w:t>
            </w:r>
          </w:p>
        </w:tc>
        <w:tc>
          <w:tcPr>
            <w:tcW w:w="991" w:type="dxa"/>
            <w:shd w:val="clear" w:color="auto" w:fill="E7E6E6"/>
            <w:tcMar>
              <w:top w:w="45" w:type="dxa"/>
              <w:left w:w="35" w:type="dxa"/>
              <w:bottom w:w="45" w:type="dxa"/>
              <w:right w:w="35" w:type="dxa"/>
            </w:tcMar>
            <w:vAlign w:val="center"/>
          </w:tcPr>
          <w:p w14:paraId="14DD30E6">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论文专著名称</w:t>
            </w:r>
          </w:p>
        </w:tc>
        <w:tc>
          <w:tcPr>
            <w:tcW w:w="991" w:type="dxa"/>
            <w:shd w:val="clear" w:color="auto" w:fill="E7E6E6"/>
            <w:tcMar>
              <w:top w:w="45" w:type="dxa"/>
              <w:left w:w="35" w:type="dxa"/>
              <w:bottom w:w="45" w:type="dxa"/>
              <w:right w:w="35" w:type="dxa"/>
            </w:tcMar>
            <w:vAlign w:val="center"/>
          </w:tcPr>
          <w:p w14:paraId="7FB581BB">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刊名</w:t>
            </w:r>
          </w:p>
        </w:tc>
        <w:tc>
          <w:tcPr>
            <w:tcW w:w="991" w:type="dxa"/>
            <w:shd w:val="clear" w:color="auto" w:fill="E7E6E6"/>
            <w:tcMar>
              <w:top w:w="45" w:type="dxa"/>
              <w:left w:w="35" w:type="dxa"/>
              <w:bottom w:w="45" w:type="dxa"/>
              <w:right w:w="35" w:type="dxa"/>
            </w:tcMar>
            <w:vAlign w:val="center"/>
          </w:tcPr>
          <w:p w14:paraId="7FDA40CA">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作者</w:t>
            </w:r>
          </w:p>
        </w:tc>
        <w:tc>
          <w:tcPr>
            <w:tcW w:w="991" w:type="dxa"/>
            <w:shd w:val="clear" w:color="auto" w:fill="E7E6E6"/>
            <w:tcMar>
              <w:top w:w="45" w:type="dxa"/>
              <w:left w:w="35" w:type="dxa"/>
              <w:bottom w:w="45" w:type="dxa"/>
              <w:right w:w="35" w:type="dxa"/>
            </w:tcMar>
            <w:vAlign w:val="center"/>
          </w:tcPr>
          <w:p w14:paraId="396CEA9A">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年卷页码</w:t>
            </w:r>
          </w:p>
        </w:tc>
        <w:tc>
          <w:tcPr>
            <w:tcW w:w="991" w:type="dxa"/>
            <w:shd w:val="clear" w:color="auto" w:fill="E7E6E6"/>
            <w:tcMar>
              <w:top w:w="45" w:type="dxa"/>
              <w:left w:w="35" w:type="dxa"/>
              <w:bottom w:w="45" w:type="dxa"/>
              <w:right w:w="35" w:type="dxa"/>
            </w:tcMar>
            <w:vAlign w:val="center"/>
          </w:tcPr>
          <w:p w14:paraId="218A1C0A">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发表时间</w:t>
            </w:r>
          </w:p>
        </w:tc>
        <w:tc>
          <w:tcPr>
            <w:tcW w:w="991" w:type="dxa"/>
            <w:shd w:val="clear" w:color="auto" w:fill="E7E6E6"/>
            <w:tcMar>
              <w:top w:w="45" w:type="dxa"/>
              <w:left w:w="35" w:type="dxa"/>
              <w:bottom w:w="45" w:type="dxa"/>
              <w:right w:w="35" w:type="dxa"/>
            </w:tcMar>
            <w:vAlign w:val="center"/>
          </w:tcPr>
          <w:p w14:paraId="283FE804">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申报人排序</w:t>
            </w:r>
          </w:p>
        </w:tc>
        <w:tc>
          <w:tcPr>
            <w:tcW w:w="991" w:type="dxa"/>
            <w:shd w:val="clear" w:color="auto" w:fill="E7E6E6"/>
            <w:tcMar>
              <w:top w:w="45" w:type="dxa"/>
              <w:left w:w="35" w:type="dxa"/>
              <w:bottom w:w="45" w:type="dxa"/>
              <w:right w:w="35" w:type="dxa"/>
            </w:tcMar>
            <w:vAlign w:val="center"/>
          </w:tcPr>
          <w:p w14:paraId="5542DA2F">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SCI他引次数</w:t>
            </w:r>
          </w:p>
        </w:tc>
        <w:tc>
          <w:tcPr>
            <w:tcW w:w="991" w:type="dxa"/>
            <w:shd w:val="clear" w:color="auto" w:fill="E7E6E6"/>
            <w:tcMar>
              <w:top w:w="45" w:type="dxa"/>
              <w:left w:w="35" w:type="dxa"/>
              <w:bottom w:w="45" w:type="dxa"/>
              <w:right w:w="35" w:type="dxa"/>
            </w:tcMar>
            <w:vAlign w:val="center"/>
          </w:tcPr>
          <w:p w14:paraId="5CEC5EDD">
            <w:pPr>
              <w:spacing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他引总次数</w:t>
            </w:r>
          </w:p>
        </w:tc>
      </w:tr>
      <w:tr w14:paraId="074A17FC">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192" w:hRule="atLeast"/>
          <w:jc w:val="center"/>
        </w:trPr>
        <w:tc>
          <w:tcPr>
            <w:tcW w:w="991" w:type="dxa"/>
            <w:tcMar>
              <w:top w:w="35" w:type="dxa"/>
              <w:left w:w="35" w:type="dxa"/>
              <w:bottom w:w="35" w:type="dxa"/>
              <w:right w:w="35" w:type="dxa"/>
            </w:tcMar>
            <w:vAlign w:val="center"/>
          </w:tcPr>
          <w:p w14:paraId="5C555C9F">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991" w:type="dxa"/>
            <w:tcMar>
              <w:top w:w="35" w:type="dxa"/>
              <w:left w:w="35" w:type="dxa"/>
              <w:bottom w:w="35" w:type="dxa"/>
              <w:right w:w="35" w:type="dxa"/>
            </w:tcMar>
            <w:vAlign w:val="center"/>
          </w:tcPr>
          <w:p w14:paraId="2446492D">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Toxic effects of nano-TiO₂ in bivalves-A synthesis of meta-analysis and bibliometric analysis</w:t>
            </w:r>
          </w:p>
        </w:tc>
        <w:tc>
          <w:tcPr>
            <w:tcW w:w="991" w:type="dxa"/>
            <w:tcMar>
              <w:top w:w="35" w:type="dxa"/>
              <w:left w:w="35" w:type="dxa"/>
              <w:bottom w:w="35" w:type="dxa"/>
              <w:right w:w="35" w:type="dxa"/>
            </w:tcMar>
            <w:vAlign w:val="center"/>
          </w:tcPr>
          <w:p w14:paraId="7FB0AB12">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Journal of Environmental Sciences</w:t>
            </w:r>
          </w:p>
        </w:tc>
        <w:tc>
          <w:tcPr>
            <w:tcW w:w="991" w:type="dxa"/>
            <w:tcMar>
              <w:top w:w="35" w:type="dxa"/>
              <w:left w:w="35" w:type="dxa"/>
              <w:bottom w:w="35" w:type="dxa"/>
              <w:right w:w="35" w:type="dxa"/>
            </w:tcMar>
            <w:vAlign w:val="center"/>
          </w:tcPr>
          <w:p w14:paraId="09E4B555">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Li, Z.Q., Hu, M.H., Song, H.T., Lin, D.H., Wang, Y.J</w:t>
            </w:r>
          </w:p>
        </w:tc>
        <w:tc>
          <w:tcPr>
            <w:tcW w:w="991" w:type="dxa"/>
            <w:tcMar>
              <w:top w:w="35" w:type="dxa"/>
              <w:left w:w="35" w:type="dxa"/>
              <w:bottom w:w="35" w:type="dxa"/>
              <w:right w:w="35" w:type="dxa"/>
            </w:tcMar>
            <w:vAlign w:val="center"/>
          </w:tcPr>
          <w:p w14:paraId="389C1C54">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2021, 104, 188-203</w:t>
            </w:r>
          </w:p>
        </w:tc>
        <w:tc>
          <w:tcPr>
            <w:tcW w:w="991" w:type="dxa"/>
            <w:tcMar>
              <w:top w:w="35" w:type="dxa"/>
              <w:left w:w="35" w:type="dxa"/>
              <w:bottom w:w="35" w:type="dxa"/>
              <w:right w:w="35" w:type="dxa"/>
            </w:tcMar>
            <w:vAlign w:val="center"/>
          </w:tcPr>
          <w:p w14:paraId="6E29BD50">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2020-12-19</w:t>
            </w:r>
          </w:p>
        </w:tc>
        <w:tc>
          <w:tcPr>
            <w:tcW w:w="991" w:type="dxa"/>
            <w:tcMar>
              <w:top w:w="35" w:type="dxa"/>
              <w:left w:w="35" w:type="dxa"/>
              <w:bottom w:w="35" w:type="dxa"/>
              <w:right w:w="35" w:type="dxa"/>
            </w:tcMar>
            <w:vAlign w:val="center"/>
          </w:tcPr>
          <w:p w14:paraId="6BE914C1">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991" w:type="dxa"/>
            <w:tcMar>
              <w:top w:w="35" w:type="dxa"/>
              <w:left w:w="35" w:type="dxa"/>
              <w:bottom w:w="35" w:type="dxa"/>
              <w:right w:w="35" w:type="dxa"/>
            </w:tcMar>
            <w:vAlign w:val="center"/>
          </w:tcPr>
          <w:p w14:paraId="58AD6008">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c>
          <w:tcPr>
            <w:tcW w:w="991" w:type="dxa"/>
            <w:tcMar>
              <w:top w:w="35" w:type="dxa"/>
              <w:left w:w="35" w:type="dxa"/>
              <w:bottom w:w="35" w:type="dxa"/>
              <w:right w:w="35" w:type="dxa"/>
            </w:tcMar>
            <w:vAlign w:val="center"/>
          </w:tcPr>
          <w:p w14:paraId="54A83281">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w:t>
            </w:r>
          </w:p>
        </w:tc>
      </w:tr>
      <w:tr w14:paraId="0298D57C">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192" w:hRule="atLeast"/>
          <w:jc w:val="center"/>
        </w:trPr>
        <w:tc>
          <w:tcPr>
            <w:tcW w:w="991" w:type="dxa"/>
            <w:tcMar>
              <w:top w:w="35" w:type="dxa"/>
              <w:left w:w="35" w:type="dxa"/>
              <w:bottom w:w="35" w:type="dxa"/>
              <w:right w:w="35" w:type="dxa"/>
            </w:tcMar>
            <w:vAlign w:val="center"/>
          </w:tcPr>
          <w:p w14:paraId="1FA84111">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991" w:type="dxa"/>
            <w:tcMar>
              <w:top w:w="35" w:type="dxa"/>
              <w:left w:w="35" w:type="dxa"/>
              <w:bottom w:w="35" w:type="dxa"/>
              <w:right w:w="35" w:type="dxa"/>
            </w:tcMar>
            <w:vAlign w:val="center"/>
          </w:tcPr>
          <w:p w14:paraId="73770004">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Rethinking nano-TiO₂ safety: Overview of toxic effects in humans and aquatic animals</w:t>
            </w:r>
          </w:p>
        </w:tc>
        <w:tc>
          <w:tcPr>
            <w:tcW w:w="991" w:type="dxa"/>
            <w:tcMar>
              <w:top w:w="35" w:type="dxa"/>
              <w:left w:w="35" w:type="dxa"/>
              <w:bottom w:w="35" w:type="dxa"/>
              <w:right w:w="35" w:type="dxa"/>
            </w:tcMar>
            <w:vAlign w:val="center"/>
          </w:tcPr>
          <w:p w14:paraId="4FF7ACFB">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Small</w:t>
            </w:r>
          </w:p>
        </w:tc>
        <w:tc>
          <w:tcPr>
            <w:tcW w:w="991" w:type="dxa"/>
            <w:tcMar>
              <w:top w:w="35" w:type="dxa"/>
              <w:left w:w="35" w:type="dxa"/>
              <w:bottom w:w="35" w:type="dxa"/>
              <w:right w:w="35" w:type="dxa"/>
            </w:tcMar>
            <w:vAlign w:val="center"/>
          </w:tcPr>
          <w:p w14:paraId="2B272E37">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Luo, Z., Li, Z.Q., Xie, Z., Sokolova, I.M., Song, L., Peijnenburg, W.J.G.M., Hu, M.H., Wang, Y.J.</w:t>
            </w:r>
          </w:p>
        </w:tc>
        <w:tc>
          <w:tcPr>
            <w:tcW w:w="991" w:type="dxa"/>
            <w:tcMar>
              <w:top w:w="35" w:type="dxa"/>
              <w:left w:w="35" w:type="dxa"/>
              <w:bottom w:w="35" w:type="dxa"/>
              <w:right w:w="35" w:type="dxa"/>
            </w:tcMar>
            <w:vAlign w:val="center"/>
          </w:tcPr>
          <w:p w14:paraId="06B9FF45">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2020, 16(36), 2002019</w:t>
            </w:r>
          </w:p>
        </w:tc>
        <w:tc>
          <w:tcPr>
            <w:tcW w:w="991" w:type="dxa"/>
            <w:tcMar>
              <w:top w:w="35" w:type="dxa"/>
              <w:left w:w="35" w:type="dxa"/>
              <w:bottom w:w="35" w:type="dxa"/>
              <w:right w:w="35" w:type="dxa"/>
            </w:tcMar>
            <w:vAlign w:val="center"/>
          </w:tcPr>
          <w:p w14:paraId="4EBA0027">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2020-08-06</w:t>
            </w:r>
          </w:p>
        </w:tc>
        <w:tc>
          <w:tcPr>
            <w:tcW w:w="991" w:type="dxa"/>
            <w:tcMar>
              <w:top w:w="35" w:type="dxa"/>
              <w:left w:w="35" w:type="dxa"/>
              <w:bottom w:w="35" w:type="dxa"/>
              <w:right w:w="35" w:type="dxa"/>
            </w:tcMar>
            <w:vAlign w:val="center"/>
          </w:tcPr>
          <w:p w14:paraId="794E9BAA">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w:t>
            </w:r>
          </w:p>
        </w:tc>
        <w:tc>
          <w:tcPr>
            <w:tcW w:w="991" w:type="dxa"/>
            <w:tcMar>
              <w:top w:w="35" w:type="dxa"/>
              <w:left w:w="35" w:type="dxa"/>
              <w:bottom w:w="35" w:type="dxa"/>
              <w:right w:w="35" w:type="dxa"/>
            </w:tcMar>
            <w:vAlign w:val="center"/>
          </w:tcPr>
          <w:p w14:paraId="67D78E5D">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164</w:t>
            </w:r>
          </w:p>
        </w:tc>
        <w:tc>
          <w:tcPr>
            <w:tcW w:w="991" w:type="dxa"/>
            <w:tcMar>
              <w:top w:w="35" w:type="dxa"/>
              <w:left w:w="35" w:type="dxa"/>
              <w:bottom w:w="35" w:type="dxa"/>
              <w:right w:w="35" w:type="dxa"/>
            </w:tcMar>
            <w:vAlign w:val="center"/>
          </w:tcPr>
          <w:p w14:paraId="6B98B805">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204</w:t>
            </w:r>
          </w:p>
        </w:tc>
      </w:tr>
      <w:tr w14:paraId="66534CA3">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192" w:hRule="atLeast"/>
          <w:jc w:val="center"/>
        </w:trPr>
        <w:tc>
          <w:tcPr>
            <w:tcW w:w="991" w:type="dxa"/>
            <w:tcMar>
              <w:top w:w="35" w:type="dxa"/>
              <w:left w:w="35" w:type="dxa"/>
              <w:bottom w:w="35" w:type="dxa"/>
              <w:right w:w="35" w:type="dxa"/>
            </w:tcMar>
            <w:vAlign w:val="center"/>
          </w:tcPr>
          <w:p w14:paraId="0B2A23C8">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991" w:type="dxa"/>
            <w:tcMar>
              <w:top w:w="35" w:type="dxa"/>
              <w:left w:w="35" w:type="dxa"/>
              <w:bottom w:w="35" w:type="dxa"/>
              <w:right w:w="35" w:type="dxa"/>
            </w:tcMar>
            <w:vAlign w:val="center"/>
          </w:tcPr>
          <w:p w14:paraId="09FD3F8C">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Differential in vivo hemocyte responses to nano titanium dioxide in mussels: Effects of particle size</w:t>
            </w:r>
          </w:p>
        </w:tc>
        <w:tc>
          <w:tcPr>
            <w:tcW w:w="991" w:type="dxa"/>
            <w:tcMar>
              <w:top w:w="35" w:type="dxa"/>
              <w:left w:w="35" w:type="dxa"/>
              <w:bottom w:w="35" w:type="dxa"/>
              <w:right w:w="35" w:type="dxa"/>
            </w:tcMar>
            <w:vAlign w:val="center"/>
          </w:tcPr>
          <w:p w14:paraId="4E7F04C3">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Aquatic Toxicology</w:t>
            </w:r>
          </w:p>
        </w:tc>
        <w:tc>
          <w:tcPr>
            <w:tcW w:w="991" w:type="dxa"/>
            <w:tcMar>
              <w:top w:w="35" w:type="dxa"/>
              <w:left w:w="35" w:type="dxa"/>
              <w:bottom w:w="35" w:type="dxa"/>
              <w:right w:w="35" w:type="dxa"/>
            </w:tcMar>
            <w:vAlign w:val="center"/>
          </w:tcPr>
          <w:p w14:paraId="19B86C82">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Wang, T., Huang, X., Jiang, X., Hu, M., Huang, W., Wang, Y.J</w:t>
            </w:r>
          </w:p>
        </w:tc>
        <w:tc>
          <w:tcPr>
            <w:tcW w:w="991" w:type="dxa"/>
            <w:tcMar>
              <w:top w:w="35" w:type="dxa"/>
              <w:left w:w="35" w:type="dxa"/>
              <w:bottom w:w="35" w:type="dxa"/>
              <w:right w:w="35" w:type="dxa"/>
            </w:tcMar>
            <w:vAlign w:val="center"/>
          </w:tcPr>
          <w:p w14:paraId="42708B1C">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2019, 212, 28-36</w:t>
            </w:r>
          </w:p>
        </w:tc>
        <w:tc>
          <w:tcPr>
            <w:tcW w:w="991" w:type="dxa"/>
            <w:tcMar>
              <w:top w:w="35" w:type="dxa"/>
              <w:left w:w="35" w:type="dxa"/>
              <w:bottom w:w="35" w:type="dxa"/>
              <w:right w:w="35" w:type="dxa"/>
            </w:tcMar>
            <w:vAlign w:val="center"/>
          </w:tcPr>
          <w:p w14:paraId="1E58E081">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2019-07-09</w:t>
            </w:r>
          </w:p>
        </w:tc>
        <w:tc>
          <w:tcPr>
            <w:tcW w:w="991" w:type="dxa"/>
            <w:tcMar>
              <w:top w:w="35" w:type="dxa"/>
              <w:left w:w="35" w:type="dxa"/>
              <w:bottom w:w="35" w:type="dxa"/>
              <w:right w:w="35" w:type="dxa"/>
            </w:tcMar>
            <w:vAlign w:val="center"/>
          </w:tcPr>
          <w:p w14:paraId="3D38A42F">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991" w:type="dxa"/>
            <w:tcMar>
              <w:top w:w="35" w:type="dxa"/>
              <w:left w:w="35" w:type="dxa"/>
              <w:bottom w:w="35" w:type="dxa"/>
              <w:right w:w="35" w:type="dxa"/>
            </w:tcMar>
            <w:vAlign w:val="center"/>
          </w:tcPr>
          <w:p w14:paraId="56ED3F34">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49</w:t>
            </w:r>
          </w:p>
        </w:tc>
        <w:tc>
          <w:tcPr>
            <w:tcW w:w="991" w:type="dxa"/>
            <w:tcMar>
              <w:top w:w="35" w:type="dxa"/>
              <w:left w:w="35" w:type="dxa"/>
              <w:bottom w:w="35" w:type="dxa"/>
              <w:right w:w="35" w:type="dxa"/>
            </w:tcMar>
            <w:vAlign w:val="center"/>
          </w:tcPr>
          <w:p w14:paraId="73C78B79">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49</w:t>
            </w:r>
          </w:p>
        </w:tc>
      </w:tr>
      <w:tr w14:paraId="02DFEBB2">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192" w:hRule="atLeast"/>
          <w:jc w:val="center"/>
        </w:trPr>
        <w:tc>
          <w:tcPr>
            <w:tcW w:w="991" w:type="dxa"/>
            <w:tcMar>
              <w:top w:w="35" w:type="dxa"/>
              <w:left w:w="35" w:type="dxa"/>
              <w:bottom w:w="35" w:type="dxa"/>
              <w:right w:w="35" w:type="dxa"/>
            </w:tcMar>
            <w:vAlign w:val="center"/>
          </w:tcPr>
          <w:p w14:paraId="6DBD5446">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991" w:type="dxa"/>
            <w:tcMar>
              <w:top w:w="35" w:type="dxa"/>
              <w:left w:w="35" w:type="dxa"/>
              <w:bottom w:w="35" w:type="dxa"/>
              <w:right w:w="35" w:type="dxa"/>
            </w:tcMar>
            <w:vAlign w:val="center"/>
          </w:tcPr>
          <w:p w14:paraId="1AA477B1">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Nano-ZnO impairs anti-predation capacity of marine mussels under seawater acidification</w:t>
            </w:r>
          </w:p>
        </w:tc>
        <w:tc>
          <w:tcPr>
            <w:tcW w:w="991" w:type="dxa"/>
            <w:tcMar>
              <w:top w:w="35" w:type="dxa"/>
              <w:left w:w="35" w:type="dxa"/>
              <w:bottom w:w="35" w:type="dxa"/>
              <w:right w:w="35" w:type="dxa"/>
            </w:tcMar>
            <w:vAlign w:val="center"/>
          </w:tcPr>
          <w:p w14:paraId="230115C3">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Journal of Hazardous Materials</w:t>
            </w:r>
          </w:p>
        </w:tc>
        <w:tc>
          <w:tcPr>
            <w:tcW w:w="991" w:type="dxa"/>
            <w:tcMar>
              <w:top w:w="35" w:type="dxa"/>
              <w:left w:w="35" w:type="dxa"/>
              <w:bottom w:w="35" w:type="dxa"/>
              <w:right w:w="35" w:type="dxa"/>
            </w:tcMar>
            <w:vAlign w:val="center"/>
          </w:tcPr>
          <w:p w14:paraId="4AAD36A1">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Shang, Y.Y., Wang, X.H., Kong, H., Huang, W., Hu, M.H., Wang, Y.J.</w:t>
            </w:r>
          </w:p>
        </w:tc>
        <w:tc>
          <w:tcPr>
            <w:tcW w:w="991" w:type="dxa"/>
            <w:tcMar>
              <w:top w:w="35" w:type="dxa"/>
              <w:left w:w="35" w:type="dxa"/>
              <w:bottom w:w="35" w:type="dxa"/>
              <w:right w:w="35" w:type="dxa"/>
            </w:tcMar>
            <w:vAlign w:val="center"/>
          </w:tcPr>
          <w:p w14:paraId="1481945E">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2019, 371, 521-528</w:t>
            </w:r>
          </w:p>
        </w:tc>
        <w:tc>
          <w:tcPr>
            <w:tcW w:w="991" w:type="dxa"/>
            <w:tcMar>
              <w:top w:w="35" w:type="dxa"/>
              <w:left w:w="35" w:type="dxa"/>
              <w:bottom w:w="35" w:type="dxa"/>
              <w:right w:w="35" w:type="dxa"/>
            </w:tcMar>
            <w:vAlign w:val="center"/>
          </w:tcPr>
          <w:p w14:paraId="1028CCE2">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2019-02-21</w:t>
            </w:r>
          </w:p>
        </w:tc>
        <w:tc>
          <w:tcPr>
            <w:tcW w:w="991" w:type="dxa"/>
            <w:tcMar>
              <w:top w:w="35" w:type="dxa"/>
              <w:left w:w="35" w:type="dxa"/>
              <w:bottom w:w="35" w:type="dxa"/>
              <w:right w:w="35" w:type="dxa"/>
            </w:tcMar>
            <w:vAlign w:val="center"/>
          </w:tcPr>
          <w:p w14:paraId="6CCC151D">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991" w:type="dxa"/>
            <w:tcMar>
              <w:top w:w="35" w:type="dxa"/>
              <w:left w:w="35" w:type="dxa"/>
              <w:bottom w:w="35" w:type="dxa"/>
              <w:right w:w="35" w:type="dxa"/>
            </w:tcMar>
            <w:vAlign w:val="center"/>
          </w:tcPr>
          <w:p w14:paraId="3681A56B">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23</w:t>
            </w:r>
          </w:p>
        </w:tc>
        <w:tc>
          <w:tcPr>
            <w:tcW w:w="991" w:type="dxa"/>
            <w:tcMar>
              <w:top w:w="35" w:type="dxa"/>
              <w:left w:w="35" w:type="dxa"/>
              <w:bottom w:w="35" w:type="dxa"/>
              <w:right w:w="35" w:type="dxa"/>
            </w:tcMar>
            <w:vAlign w:val="center"/>
          </w:tcPr>
          <w:p w14:paraId="175C20B8">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w:t>
            </w:r>
          </w:p>
        </w:tc>
      </w:tr>
      <w:tr w14:paraId="3501DBBE">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595" w:hRule="atLeast"/>
          <w:jc w:val="center"/>
        </w:trPr>
        <w:tc>
          <w:tcPr>
            <w:tcW w:w="991" w:type="dxa"/>
            <w:tcMar>
              <w:top w:w="35" w:type="dxa"/>
              <w:left w:w="35" w:type="dxa"/>
              <w:bottom w:w="35" w:type="dxa"/>
              <w:right w:w="35" w:type="dxa"/>
            </w:tcMar>
            <w:vAlign w:val="center"/>
          </w:tcPr>
          <w:p w14:paraId="6A2A24E3">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991" w:type="dxa"/>
            <w:tcMar>
              <w:top w:w="35" w:type="dxa"/>
              <w:left w:w="35" w:type="dxa"/>
              <w:bottom w:w="35" w:type="dxa"/>
              <w:right w:w="35" w:type="dxa"/>
            </w:tcMar>
            <w:vAlign w:val="center"/>
          </w:tcPr>
          <w:p w14:paraId="4023A942">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Oxidative stress induced by titanium dioxide nanoparticles increases under seawater acidification in the thick shell mussel Mytilus coruscus</w:t>
            </w:r>
          </w:p>
        </w:tc>
        <w:tc>
          <w:tcPr>
            <w:tcW w:w="991" w:type="dxa"/>
            <w:tcMar>
              <w:top w:w="35" w:type="dxa"/>
              <w:left w:w="35" w:type="dxa"/>
              <w:bottom w:w="35" w:type="dxa"/>
              <w:right w:w="35" w:type="dxa"/>
            </w:tcMar>
            <w:vAlign w:val="center"/>
          </w:tcPr>
          <w:p w14:paraId="5486B7F4">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Marine Environmental Research</w:t>
            </w:r>
          </w:p>
        </w:tc>
        <w:tc>
          <w:tcPr>
            <w:tcW w:w="991" w:type="dxa"/>
            <w:tcMar>
              <w:top w:w="35" w:type="dxa"/>
              <w:left w:w="35" w:type="dxa"/>
              <w:bottom w:w="35" w:type="dxa"/>
              <w:right w:w="35" w:type="dxa"/>
            </w:tcMar>
            <w:vAlign w:val="center"/>
          </w:tcPr>
          <w:p w14:paraId="7643E978">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Huang, X.Z., Liu, Z.K., Xie, Z., Dupont, S., Huang, W., Wu, F.L., Kong, H., Liu, L.P., Sui, Y.M., Lin, D.H., Lu, W.Q., Hu, M.H., Wang, Y.J</w:t>
            </w:r>
          </w:p>
        </w:tc>
        <w:tc>
          <w:tcPr>
            <w:tcW w:w="991" w:type="dxa"/>
            <w:tcMar>
              <w:top w:w="35" w:type="dxa"/>
              <w:left w:w="35" w:type="dxa"/>
              <w:bottom w:w="35" w:type="dxa"/>
              <w:right w:w="35" w:type="dxa"/>
            </w:tcMar>
            <w:vAlign w:val="center"/>
          </w:tcPr>
          <w:p w14:paraId="19382F87">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2018, 137, 49-59</w:t>
            </w:r>
          </w:p>
        </w:tc>
        <w:tc>
          <w:tcPr>
            <w:tcW w:w="991" w:type="dxa"/>
            <w:tcMar>
              <w:top w:w="35" w:type="dxa"/>
              <w:left w:w="35" w:type="dxa"/>
              <w:bottom w:w="35" w:type="dxa"/>
              <w:right w:w="35" w:type="dxa"/>
            </w:tcMar>
            <w:vAlign w:val="center"/>
          </w:tcPr>
          <w:p w14:paraId="1097C998">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2018-02-26</w:t>
            </w:r>
          </w:p>
        </w:tc>
        <w:tc>
          <w:tcPr>
            <w:tcW w:w="991" w:type="dxa"/>
            <w:tcMar>
              <w:top w:w="35" w:type="dxa"/>
              <w:left w:w="35" w:type="dxa"/>
              <w:bottom w:w="35" w:type="dxa"/>
              <w:right w:w="35" w:type="dxa"/>
            </w:tcMar>
            <w:vAlign w:val="center"/>
          </w:tcPr>
          <w:p w14:paraId="251BD354">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991" w:type="dxa"/>
            <w:tcMar>
              <w:top w:w="35" w:type="dxa"/>
              <w:left w:w="35" w:type="dxa"/>
              <w:bottom w:w="35" w:type="dxa"/>
              <w:right w:w="35" w:type="dxa"/>
            </w:tcMar>
            <w:vAlign w:val="center"/>
          </w:tcPr>
          <w:p w14:paraId="52B1E746">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c>
          <w:tcPr>
            <w:tcW w:w="991" w:type="dxa"/>
            <w:tcMar>
              <w:top w:w="35" w:type="dxa"/>
              <w:left w:w="35" w:type="dxa"/>
              <w:bottom w:w="35" w:type="dxa"/>
              <w:right w:w="35" w:type="dxa"/>
            </w:tcMar>
            <w:vAlign w:val="center"/>
          </w:tcPr>
          <w:p w14:paraId="50763D8A">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94</w:t>
            </w:r>
          </w:p>
        </w:tc>
      </w:tr>
      <w:tr w14:paraId="60DC243E">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595" w:hRule="atLeast"/>
          <w:jc w:val="center"/>
        </w:trPr>
        <w:tc>
          <w:tcPr>
            <w:tcW w:w="991" w:type="dxa"/>
            <w:tcMar>
              <w:top w:w="35" w:type="dxa"/>
              <w:left w:w="35" w:type="dxa"/>
              <w:bottom w:w="35" w:type="dxa"/>
              <w:right w:w="35" w:type="dxa"/>
            </w:tcMar>
            <w:vAlign w:val="center"/>
          </w:tcPr>
          <w:p w14:paraId="124BFEF2">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991" w:type="dxa"/>
            <w:tcMar>
              <w:top w:w="35" w:type="dxa"/>
              <w:left w:w="35" w:type="dxa"/>
              <w:bottom w:w="35" w:type="dxa"/>
              <w:right w:w="35" w:type="dxa"/>
            </w:tcMar>
            <w:vAlign w:val="center"/>
          </w:tcPr>
          <w:p w14:paraId="3B360A62">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Synergistic effects of nano-ZnO and low pH of sea water on the physiological energetics of the thick shell mussel Mytilus coruscus</w:t>
            </w:r>
          </w:p>
        </w:tc>
        <w:tc>
          <w:tcPr>
            <w:tcW w:w="991" w:type="dxa"/>
            <w:tcMar>
              <w:top w:w="35" w:type="dxa"/>
              <w:left w:w="35" w:type="dxa"/>
              <w:bottom w:w="35" w:type="dxa"/>
              <w:right w:w="35" w:type="dxa"/>
            </w:tcMar>
            <w:vAlign w:val="center"/>
          </w:tcPr>
          <w:p w14:paraId="3596D6D1">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Frontiers in Physiology</w:t>
            </w:r>
          </w:p>
        </w:tc>
        <w:tc>
          <w:tcPr>
            <w:tcW w:w="991" w:type="dxa"/>
            <w:tcMar>
              <w:top w:w="35" w:type="dxa"/>
              <w:left w:w="35" w:type="dxa"/>
              <w:bottom w:w="35" w:type="dxa"/>
              <w:right w:w="35" w:type="dxa"/>
            </w:tcMar>
            <w:vAlign w:val="center"/>
          </w:tcPr>
          <w:p w14:paraId="3BCBC8F1">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Shang, Y.Y., Lan, Y.W., Liu, Z.K., Kong, H., Huang, X.Z., Wu, F.L., Liu, L.P., Hu, M.H., Huang, W., Wang, Y.J</w:t>
            </w:r>
          </w:p>
        </w:tc>
        <w:tc>
          <w:tcPr>
            <w:tcW w:w="991" w:type="dxa"/>
            <w:tcMar>
              <w:top w:w="35" w:type="dxa"/>
              <w:left w:w="35" w:type="dxa"/>
              <w:bottom w:w="35" w:type="dxa"/>
              <w:right w:w="35" w:type="dxa"/>
            </w:tcMar>
            <w:vAlign w:val="center"/>
          </w:tcPr>
          <w:p w14:paraId="296C813E">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2018, 9, 757</w:t>
            </w:r>
          </w:p>
        </w:tc>
        <w:tc>
          <w:tcPr>
            <w:tcW w:w="991" w:type="dxa"/>
            <w:tcMar>
              <w:top w:w="35" w:type="dxa"/>
              <w:left w:w="35" w:type="dxa"/>
              <w:bottom w:w="35" w:type="dxa"/>
              <w:right w:w="35" w:type="dxa"/>
            </w:tcMar>
            <w:vAlign w:val="center"/>
          </w:tcPr>
          <w:p w14:paraId="2AE86C40">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2018-06-19</w:t>
            </w:r>
          </w:p>
        </w:tc>
        <w:tc>
          <w:tcPr>
            <w:tcW w:w="991" w:type="dxa"/>
            <w:tcMar>
              <w:top w:w="35" w:type="dxa"/>
              <w:left w:w="35" w:type="dxa"/>
              <w:bottom w:w="35" w:type="dxa"/>
              <w:right w:w="35" w:type="dxa"/>
            </w:tcMar>
            <w:vAlign w:val="center"/>
          </w:tcPr>
          <w:p w14:paraId="79DE9F97">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991" w:type="dxa"/>
            <w:tcMar>
              <w:top w:w="35" w:type="dxa"/>
              <w:left w:w="35" w:type="dxa"/>
              <w:bottom w:w="35" w:type="dxa"/>
              <w:right w:w="35" w:type="dxa"/>
            </w:tcMar>
            <w:vAlign w:val="center"/>
          </w:tcPr>
          <w:p w14:paraId="16AB965E">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w:t>
            </w:r>
          </w:p>
        </w:tc>
        <w:tc>
          <w:tcPr>
            <w:tcW w:w="991" w:type="dxa"/>
            <w:tcMar>
              <w:top w:w="35" w:type="dxa"/>
              <w:left w:w="35" w:type="dxa"/>
              <w:bottom w:w="35" w:type="dxa"/>
              <w:right w:w="35" w:type="dxa"/>
            </w:tcMar>
            <w:vAlign w:val="center"/>
          </w:tcPr>
          <w:p w14:paraId="759BD760">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33</w:t>
            </w:r>
          </w:p>
        </w:tc>
      </w:tr>
      <w:tr w14:paraId="288F6DAF">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192" w:hRule="atLeast"/>
          <w:jc w:val="center"/>
        </w:trPr>
        <w:tc>
          <w:tcPr>
            <w:tcW w:w="991" w:type="dxa"/>
            <w:tcMar>
              <w:top w:w="35" w:type="dxa"/>
              <w:left w:w="35" w:type="dxa"/>
              <w:bottom w:w="35" w:type="dxa"/>
              <w:right w:w="35" w:type="dxa"/>
            </w:tcMar>
            <w:vAlign w:val="center"/>
          </w:tcPr>
          <w:p w14:paraId="354E06EF">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991" w:type="dxa"/>
            <w:tcMar>
              <w:top w:w="35" w:type="dxa"/>
              <w:left w:w="35" w:type="dxa"/>
              <w:bottom w:w="35" w:type="dxa"/>
              <w:right w:w="35" w:type="dxa"/>
            </w:tcMar>
            <w:vAlign w:val="center"/>
          </w:tcPr>
          <w:p w14:paraId="41E15B05">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CO₂-induced pH reduction increases physiological toxicity of nano-TiO₂ in the mussel Mytilus coruscus</w:t>
            </w:r>
          </w:p>
        </w:tc>
        <w:tc>
          <w:tcPr>
            <w:tcW w:w="991" w:type="dxa"/>
            <w:tcMar>
              <w:top w:w="35" w:type="dxa"/>
              <w:left w:w="35" w:type="dxa"/>
              <w:bottom w:w="35" w:type="dxa"/>
              <w:right w:w="35" w:type="dxa"/>
            </w:tcMar>
            <w:vAlign w:val="center"/>
          </w:tcPr>
          <w:p w14:paraId="05A9D5FB">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Scientific Reports</w:t>
            </w:r>
          </w:p>
        </w:tc>
        <w:tc>
          <w:tcPr>
            <w:tcW w:w="991" w:type="dxa"/>
            <w:tcMar>
              <w:top w:w="35" w:type="dxa"/>
              <w:left w:w="35" w:type="dxa"/>
              <w:bottom w:w="35" w:type="dxa"/>
              <w:right w:w="35" w:type="dxa"/>
            </w:tcMar>
            <w:vAlign w:val="center"/>
          </w:tcPr>
          <w:p w14:paraId="323A8131">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Hu, M.H., Lin, D.H., Shang, Y.Y., Hu, Y., Lu, W.Q., Huang, X.Z., Ning, K., Chen, Y.M., Wang, Y.J</w:t>
            </w:r>
          </w:p>
        </w:tc>
        <w:tc>
          <w:tcPr>
            <w:tcW w:w="991" w:type="dxa"/>
            <w:tcMar>
              <w:top w:w="35" w:type="dxa"/>
              <w:left w:w="35" w:type="dxa"/>
              <w:bottom w:w="35" w:type="dxa"/>
              <w:right w:w="35" w:type="dxa"/>
            </w:tcMar>
            <w:vAlign w:val="center"/>
          </w:tcPr>
          <w:p w14:paraId="6A32C040">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2017, 7(1), 40015</w:t>
            </w:r>
          </w:p>
        </w:tc>
        <w:tc>
          <w:tcPr>
            <w:tcW w:w="991" w:type="dxa"/>
            <w:tcMar>
              <w:top w:w="35" w:type="dxa"/>
              <w:left w:w="35" w:type="dxa"/>
              <w:bottom w:w="35" w:type="dxa"/>
              <w:right w:w="35" w:type="dxa"/>
            </w:tcMar>
            <w:vAlign w:val="center"/>
          </w:tcPr>
          <w:p w14:paraId="177A8CDE">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2017-01-05</w:t>
            </w:r>
          </w:p>
        </w:tc>
        <w:tc>
          <w:tcPr>
            <w:tcW w:w="991" w:type="dxa"/>
            <w:tcMar>
              <w:top w:w="35" w:type="dxa"/>
              <w:left w:w="35" w:type="dxa"/>
              <w:bottom w:w="35" w:type="dxa"/>
              <w:right w:w="35" w:type="dxa"/>
            </w:tcMar>
            <w:vAlign w:val="center"/>
          </w:tcPr>
          <w:p w14:paraId="7C9DDC7B">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w:t>
            </w:r>
          </w:p>
        </w:tc>
        <w:tc>
          <w:tcPr>
            <w:tcW w:w="991" w:type="dxa"/>
            <w:tcMar>
              <w:top w:w="35" w:type="dxa"/>
              <w:left w:w="35" w:type="dxa"/>
              <w:bottom w:w="35" w:type="dxa"/>
              <w:right w:w="35" w:type="dxa"/>
            </w:tcMar>
            <w:vAlign w:val="center"/>
          </w:tcPr>
          <w:p w14:paraId="252327FD">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55</w:t>
            </w:r>
          </w:p>
        </w:tc>
        <w:tc>
          <w:tcPr>
            <w:tcW w:w="991" w:type="dxa"/>
            <w:tcMar>
              <w:top w:w="35" w:type="dxa"/>
              <w:left w:w="35" w:type="dxa"/>
              <w:bottom w:w="35" w:type="dxa"/>
              <w:right w:w="35" w:type="dxa"/>
            </w:tcMar>
            <w:vAlign w:val="center"/>
          </w:tcPr>
          <w:p w14:paraId="40DEB964">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w:t>
            </w:r>
          </w:p>
        </w:tc>
      </w:tr>
      <w:tr w14:paraId="712727ED">
        <w:tblPrEx>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CellMar>
            <w:top w:w="0" w:type="dxa"/>
            <w:left w:w="108" w:type="dxa"/>
            <w:bottom w:w="0" w:type="dxa"/>
            <w:right w:w="108" w:type="dxa"/>
          </w:tblCellMar>
        </w:tblPrEx>
        <w:trPr>
          <w:cantSplit/>
          <w:trHeight w:val="2264" w:hRule="atLeast"/>
          <w:jc w:val="center"/>
        </w:trPr>
        <w:tc>
          <w:tcPr>
            <w:tcW w:w="991" w:type="dxa"/>
            <w:tcMar>
              <w:top w:w="35" w:type="dxa"/>
              <w:left w:w="35" w:type="dxa"/>
              <w:bottom w:w="35" w:type="dxa"/>
              <w:right w:w="35" w:type="dxa"/>
            </w:tcMar>
            <w:vAlign w:val="center"/>
          </w:tcPr>
          <w:p w14:paraId="711B48E6">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991" w:type="dxa"/>
            <w:tcMar>
              <w:top w:w="35" w:type="dxa"/>
              <w:left w:w="35" w:type="dxa"/>
              <w:bottom w:w="35" w:type="dxa"/>
              <w:right w:w="35" w:type="dxa"/>
            </w:tcMar>
            <w:vAlign w:val="center"/>
          </w:tcPr>
          <w:p w14:paraId="5094E2E6">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Hemocyte responses of the thick shell mussel Mytilus coruscus exposed to nano-TiO₂ and seawater acidification</w:t>
            </w:r>
          </w:p>
        </w:tc>
        <w:tc>
          <w:tcPr>
            <w:tcW w:w="991" w:type="dxa"/>
            <w:tcMar>
              <w:top w:w="35" w:type="dxa"/>
              <w:left w:w="35" w:type="dxa"/>
              <w:bottom w:w="35" w:type="dxa"/>
              <w:right w:w="35" w:type="dxa"/>
            </w:tcMar>
            <w:vAlign w:val="center"/>
          </w:tcPr>
          <w:p w14:paraId="59E608AD">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Aquatic Toxicology</w:t>
            </w:r>
          </w:p>
        </w:tc>
        <w:tc>
          <w:tcPr>
            <w:tcW w:w="991" w:type="dxa"/>
            <w:tcMar>
              <w:top w:w="35" w:type="dxa"/>
              <w:left w:w="35" w:type="dxa"/>
              <w:bottom w:w="35" w:type="dxa"/>
              <w:right w:w="35" w:type="dxa"/>
            </w:tcMar>
            <w:vAlign w:val="center"/>
          </w:tcPr>
          <w:p w14:paraId="78E25E2C">
            <w:pPr>
              <w:spacing w:after="0" w:line="228"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Huang, X.Z., Lin, D.H., Ning, K., Sui, Y.M., Hu, M.H., Lu, W.Q., Wang, Y.J</w:t>
            </w:r>
          </w:p>
        </w:tc>
        <w:tc>
          <w:tcPr>
            <w:tcW w:w="991" w:type="dxa"/>
            <w:tcMar>
              <w:top w:w="35" w:type="dxa"/>
              <w:left w:w="35" w:type="dxa"/>
              <w:bottom w:w="35" w:type="dxa"/>
              <w:right w:w="35" w:type="dxa"/>
            </w:tcMar>
            <w:vAlign w:val="center"/>
          </w:tcPr>
          <w:p w14:paraId="046B8EAC">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2016, 180, 1-10</w:t>
            </w:r>
          </w:p>
        </w:tc>
        <w:tc>
          <w:tcPr>
            <w:tcW w:w="991" w:type="dxa"/>
            <w:tcMar>
              <w:top w:w="35" w:type="dxa"/>
              <w:left w:w="35" w:type="dxa"/>
              <w:bottom w:w="35" w:type="dxa"/>
              <w:right w:w="35" w:type="dxa"/>
            </w:tcMar>
            <w:vAlign w:val="center"/>
          </w:tcPr>
          <w:p w14:paraId="53A44E0E">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2016-09-12</w:t>
            </w:r>
          </w:p>
        </w:tc>
        <w:tc>
          <w:tcPr>
            <w:tcW w:w="991" w:type="dxa"/>
            <w:tcMar>
              <w:top w:w="35" w:type="dxa"/>
              <w:left w:w="35" w:type="dxa"/>
              <w:bottom w:w="35" w:type="dxa"/>
              <w:right w:w="35" w:type="dxa"/>
            </w:tcMar>
            <w:vAlign w:val="center"/>
          </w:tcPr>
          <w:p w14:paraId="239B3C0B">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991" w:type="dxa"/>
            <w:tcMar>
              <w:top w:w="35" w:type="dxa"/>
              <w:left w:w="35" w:type="dxa"/>
              <w:bottom w:w="35" w:type="dxa"/>
              <w:right w:w="35" w:type="dxa"/>
            </w:tcMar>
            <w:vAlign w:val="center"/>
          </w:tcPr>
          <w:p w14:paraId="07EB0B54">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73</w:t>
            </w:r>
          </w:p>
        </w:tc>
        <w:tc>
          <w:tcPr>
            <w:tcW w:w="991" w:type="dxa"/>
            <w:tcMar>
              <w:top w:w="35" w:type="dxa"/>
              <w:left w:w="35" w:type="dxa"/>
              <w:bottom w:w="35" w:type="dxa"/>
              <w:right w:w="35" w:type="dxa"/>
            </w:tcMar>
            <w:vAlign w:val="center"/>
          </w:tcPr>
          <w:p w14:paraId="1C4B9199">
            <w:pPr>
              <w:spacing w:after="0" w:line="228"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88</w:t>
            </w:r>
          </w:p>
        </w:tc>
      </w:tr>
    </w:tbl>
    <w:p w14:paraId="02207E3C">
      <w:pPr>
        <w:rPr>
          <w:rFonts w:hint="default" w:ascii="Times New Roman" w:hAnsi="Times New Roman" w:eastAsia="宋体" w:cs="Times New Roman"/>
        </w:rPr>
        <w:sectPr>
          <w:footerReference r:id="rId5" w:type="default"/>
          <w:pgSz w:w="11906" w:h="16838"/>
          <w:pgMar w:top="1276" w:right="1332" w:bottom="1162" w:left="1446" w:header="720" w:footer="720" w:gutter="0"/>
          <w:cols w:space="720" w:num="1"/>
          <w:docGrid w:linePitch="360" w:charSpace="0"/>
        </w:sectPr>
      </w:pPr>
      <w:r>
        <w:rPr>
          <w:rFonts w:hint="default" w:ascii="Times New Roman" w:hAnsi="Times New Roman" w:eastAsia="宋体" w:cs="Times New Roman"/>
        </w:rPr>
        <w:br w:type="page"/>
      </w:r>
    </w:p>
    <w:p w14:paraId="1C760AC8">
      <w:pPr>
        <w:spacing w:before="100" w:after="0"/>
        <w:rPr>
          <w:rFonts w:hint="default" w:ascii="Times New Roman" w:hAnsi="Times New Roman" w:eastAsia="宋体" w:cs="Times New Roman"/>
        </w:rPr>
      </w:pPr>
    </w:p>
    <w:sectPr>
      <w:pgSz w:w="16838" w:h="11906" w:orient="landscape"/>
      <w:pgMar w:top="879" w:right="709" w:bottom="822" w:left="709"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Noto Serif CJK SC">
    <w:altName w:val="FFont-Family"/>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Noto Sans CJK SC">
    <w:altName w:val="FFont-Family"/>
    <w:panose1 w:val="00000000000000000000"/>
    <w:charset w:val="00"/>
    <w:family w:val="auto"/>
    <w:pitch w:val="default"/>
    <w:sig w:usb0="00000000" w:usb1="00000000" w:usb2="00000000" w:usb3="00000000" w:csb0="00000000"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C53BC">
    <w:pPr>
      <w:pStyle w:val="24"/>
      <w:spacing w:after="0"/>
      <w:jc w:val="center"/>
    </w:pPr>
    <w:r>
      <w:rPr>
        <w:rFonts w:ascii="Noto Serif CJK SC" w:hAnsi="Noto Serif CJK SC" w:eastAsia="Noto Serif CJK SC"/>
        <w:color w:val="646464"/>
        <w:sz w:val="18"/>
      </w:rPr>
      <w:t xml:space="preserve">第 </w:t>
    </w:r>
    <w:r>
      <w:rPr>
        <w:rFonts w:ascii="Noto Serif CJK SC" w:hAnsi="Noto Serif CJK SC" w:eastAsia="Noto Serif CJK SC"/>
        <w:color w:val="646464"/>
        <w:sz w:val="18"/>
      </w:rPr>
      <w:fldChar w:fldCharType="begin"/>
    </w:r>
    <w:r>
      <w:rPr>
        <w:rFonts w:ascii="Noto Serif CJK SC" w:hAnsi="Noto Serif CJK SC" w:eastAsia="Noto Serif CJK SC"/>
        <w:color w:val="646464"/>
        <w:sz w:val="18"/>
      </w:rPr>
      <w:instrText xml:space="preserve"> PAGE </w:instrText>
    </w:r>
    <w:r>
      <w:rPr>
        <w:rFonts w:ascii="Noto Serif CJK SC" w:hAnsi="Noto Serif CJK SC" w:eastAsia="Noto Serif CJK SC"/>
        <w:color w:val="646464"/>
        <w:sz w:val="18"/>
      </w:rPr>
      <w:fldChar w:fldCharType="end"/>
    </w:r>
    <w:r>
      <w:rPr>
        <w:rFonts w:ascii="Noto Serif CJK SC" w:hAnsi="Noto Serif CJK SC" w:eastAsia="Noto Serif CJK SC"/>
        <w:color w:val="646464"/>
        <w:sz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4DE2339"/>
    <w:rsid w:val="7ADE09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Noto Serif CJK SC" w:hAnsi="Noto Serif CJK SC" w:eastAsia="Noto Serif CJK SC"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1650</Words>
  <Characters>1745</Characters>
  <Lines>0</Lines>
  <Paragraphs>0</Paragraphs>
  <TotalTime>2</TotalTime>
  <ScaleCrop>false</ScaleCrop>
  <LinksUpToDate>false</LinksUpToDate>
  <CharactersWithSpaces>1745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上海海洋大学</dc:creator>
  <dc:description>generated by python-docx</dc:description>
  <cp:keywords>自然资源科学技术奖; 青年科技奖; 王有基; 公示</cp:keywords>
  <cp:lastModifiedBy>CHL</cp:lastModifiedBy>
  <dcterms:modified xsi:type="dcterms:W3CDTF">2026-09-09T08:29:09Z</dcterms:modified>
  <dc:subject>自然资源科学技术奖青年科技奖公示信息（根据260909申报书更新）</dc:subject>
  <dc:title>关于推荐王有基申报2026年度自然资源科学技术奖（青年科技奖）的公示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eyJoZGlkIjoiZjFmZWIzNDg2MmIzZjExOTIzMmViNTBmYTMwYTk0ZWYiLCJ1c2VySWQiOiIyNjIxNzc0NjEifQ==</vt:lpwstr>
  </property>
  <property fmtid="{D5CDD505-2E9C-101B-9397-08002B2CF9AE}" pid="3" name="KSOProductBuildVer">
    <vt:lpwstr>2052-12.1.0.28505</vt:lpwstr>
  </property>
  <property fmtid="{D5CDD505-2E9C-101B-9397-08002B2CF9AE}" pid="4" name="ICV">
    <vt:lpwstr>2CDA5727FC3E43608B294989AF00EAD8_12</vt:lpwstr>
  </property>
</Properties>
</file>