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推荐申报202</w:t>
      </w:r>
      <w:r>
        <w:rPr>
          <w:rFonts w:hint="eastAsia" w:ascii="方正小标宋简体" w:eastAsia="方正小标宋简体"/>
          <w:color w:val="000000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年度福建省科学技术奖</w:t>
      </w:r>
    </w:p>
    <w:p>
      <w:pPr>
        <w:snapToGrid w:val="0"/>
        <w:spacing w:after="312" w:afterLines="10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项目成果公示</w:t>
      </w:r>
    </w:p>
    <w:p>
      <w:pPr>
        <w:snapToGrid w:val="0"/>
        <w:spacing w:line="360" w:lineRule="auto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一、</w:t>
      </w:r>
      <w:r>
        <w:rPr>
          <w:rFonts w:ascii="黑体" w:hAnsi="黑体" w:eastAsia="黑体" w:cs="Times New Roman"/>
          <w:bCs/>
          <w:sz w:val="28"/>
          <w:szCs w:val="32"/>
        </w:rPr>
        <w:t>项目名称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_GB2312" w:hAnsi="宋体" w:eastAsia="仿宋_GB2312" w:cs="宋体"/>
          <w:bCs/>
          <w:sz w:val="28"/>
          <w:szCs w:val="28"/>
          <w:shd w:val="clear" w:color="auto" w:fill="FFFFFF"/>
          <w:lang w:val="en-US" w:eastAsia="zh-CN"/>
        </w:rPr>
        <w:t>福建四种溪鱼种质评价和繁育及增养殖技术创新与应用</w:t>
      </w:r>
    </w:p>
    <w:p>
      <w:pPr>
        <w:snapToGrid w:val="0"/>
        <w:spacing w:line="360" w:lineRule="auto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二、</w:t>
      </w:r>
      <w:r>
        <w:rPr>
          <w:rFonts w:ascii="黑体" w:hAnsi="黑体" w:eastAsia="黑体" w:cs="Times New Roman"/>
          <w:bCs/>
          <w:sz w:val="28"/>
          <w:szCs w:val="32"/>
        </w:rPr>
        <w:t>提名奖种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ascii="仿宋" w:hAnsi="仿宋" w:eastAsia="仿宋" w:cs="Times New Roman"/>
          <w:sz w:val="28"/>
          <w:szCs w:val="32"/>
        </w:rPr>
        <w:t>福建省科学技术进步奖</w:t>
      </w:r>
    </w:p>
    <w:p>
      <w:pPr>
        <w:snapToGrid w:val="0"/>
        <w:spacing w:line="360" w:lineRule="auto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三、</w:t>
      </w:r>
      <w:r>
        <w:rPr>
          <w:rFonts w:ascii="黑体" w:hAnsi="黑体" w:eastAsia="黑体" w:cs="Times New Roman"/>
          <w:bCs/>
          <w:sz w:val="28"/>
          <w:szCs w:val="32"/>
        </w:rPr>
        <w:t>提名单位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ascii="仿宋" w:hAnsi="仿宋" w:eastAsia="仿宋" w:cs="Times New Roman"/>
          <w:sz w:val="28"/>
          <w:szCs w:val="32"/>
        </w:rPr>
        <w:t>福建省海洋与渔业局</w:t>
      </w:r>
    </w:p>
    <w:p>
      <w:pPr>
        <w:snapToGrid w:val="0"/>
        <w:spacing w:line="360" w:lineRule="auto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四、</w:t>
      </w:r>
      <w:r>
        <w:rPr>
          <w:rFonts w:ascii="黑体" w:hAnsi="黑体" w:eastAsia="黑体" w:cs="Times New Roman"/>
          <w:bCs/>
          <w:sz w:val="28"/>
          <w:szCs w:val="32"/>
        </w:rPr>
        <w:t>项目简介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本成果属于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/>
        </w:rPr>
        <w:t>水产科学技术、水产养殖技术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领域。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/>
        </w:rPr>
        <w:t>福建土著溪鱼存在种质遗传背景不清晰、繁育技术难、养殖效率低等产业难题，本成果采用基因组学和繁殖生物学等研究手段，进行了大刺鳅、马口鱼、半刺厚唇鱼、温州光唇鱼种质评价和繁育及增养殖技术创新与应用研究，取得了系列原创性成果。（1）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 w:bidi="ar-SA"/>
        </w:rPr>
        <w:t>构建溪鱼种质资源库，开展种质评价。在闽东、闽西、闽北和闽南创建了四种溪鱼的5个活体种质资源保存库，保存大刺鳅野生亲本8481尾，马口鱼野生亲本6830尾，半刺厚唇鱼野生亲本8406尾和温州光唇鱼野生亲本7000尾；系统解析了大刺鳅、马口鱼、半刺厚唇鱼和温州光唇鱼的繁殖生物学特性；首次完成了大刺鳅Y染色体端粒到端粒（T2T）的组装，挖掘到性别连锁区，研发出性别特异的遗传标记，发现了大刺鳅间性群体，阐明了性别可塑性的遗传特性；完成了马口鱼雄性基因组组装，挖掘出与雄性生长快连锁的相关基因；创建了可长期培养的首例马口鱼生殖干细胞系SSCs。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/>
        </w:rPr>
        <w:t>（2）突破了溪鱼繁育难的技术瓶颈，构建了规模化繁育技术体系。创制了针对溪鱼规模化繁育的栖息台、孵化装置、浮性饵料台等设施设备及技术体系，制订了苗种生产的系列标准并应用于规模化苗种生产，催产率提升至83%～100%，受精率提升至86%～97%，孵化率提升至82%～91%，育苗成活率提升至87%～98%；累计繁育水花苗2.28亿尾，培育大规格苗种1.94亿尾，实现苗种稳定按需供给。（3）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 w:bidi="ar-SA"/>
        </w:rPr>
        <w:t>创新养殖模式，研发专用配合饲料、病害防控等配套技术。研发出6种苗种培育和成鱼养殖专用配合饲料、2种功能性饲料添加剂；针对危害严重的病害开展了流行病学调查和病原学研究，完成了常用渔药对溪鱼的安全评价，建立了诊断方法和防控技术。构建网箱-池塘接力养殖等6个养殖模式，全省示范推广2369亩，在国家级水产种质资源保护区及主要流域增殖放流大刺鳅、半刺厚唇鱼和温州光唇鱼56批次，合计1092.08万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Times New Roman"/>
          <w:bCs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 w:bidi="ar-SA"/>
        </w:rPr>
        <w:t xml:space="preserve">成果共获国家专利10件，其中发明专利4件；发表学术论文47篇，其中SCI收录8篇；发布地方标准2项、团体标准2项、企业标准11项；举办培训和观摩活动22次，培训学员1811人次。成果已在福建、湖北、广东、浙江和江西等省推广应用，累计新增产值3.26亿元，新增利税0.98亿元，取得了显著的社会、经济和生态效益。该成果整体达到国际领先水平。 </w:t>
      </w:r>
    </w:p>
    <w:p>
      <w:pPr>
        <w:snapToGrid w:val="0"/>
        <w:spacing w:line="360" w:lineRule="auto"/>
        <w:rPr>
          <w:rFonts w:hint="eastAsia"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五、主要完成单位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福建省淡水水产研究所，</w:t>
      </w:r>
      <w:r>
        <w:rPr>
          <w:rFonts w:hint="default" w:ascii="仿宋" w:hAnsi="仿宋" w:eastAsia="仿宋" w:cs="Times New Roman"/>
          <w:sz w:val="28"/>
          <w:szCs w:val="32"/>
          <w:lang w:val="en-US" w:eastAsia="zh-CN"/>
        </w:rPr>
        <w:t>上海海洋大学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，福建省顺昌县兆兴鱼种养殖有限公司，</w:t>
      </w:r>
      <w:r>
        <w:rPr>
          <w:rFonts w:hint="default" w:ascii="仿宋" w:hAnsi="仿宋" w:eastAsia="仿宋" w:cs="Times New Roman"/>
          <w:sz w:val="28"/>
          <w:szCs w:val="32"/>
          <w:lang w:val="en-US" w:eastAsia="zh-CN"/>
        </w:rPr>
        <w:t>福建省福溢农业发展有限公司</w:t>
      </w:r>
      <w:r>
        <w:rPr>
          <w:rFonts w:hint="eastAsia" w:ascii="仿宋" w:hAnsi="仿宋" w:eastAsia="仿宋" w:cs="Times New Roman"/>
          <w:sz w:val="28"/>
          <w:szCs w:val="32"/>
        </w:rPr>
        <w:t>，</w:t>
      </w:r>
      <w:r>
        <w:rPr>
          <w:rFonts w:hint="default" w:ascii="仿宋" w:hAnsi="仿宋" w:eastAsia="仿宋" w:cs="Times New Roman"/>
          <w:sz w:val="28"/>
          <w:szCs w:val="32"/>
          <w:lang w:val="en-US" w:eastAsia="zh-CN"/>
        </w:rPr>
        <w:t>福建天马科技集团股份有限公司</w:t>
      </w:r>
      <w:r>
        <w:rPr>
          <w:rFonts w:hint="eastAsia" w:ascii="仿宋" w:hAnsi="仿宋" w:eastAsia="仿宋" w:cs="Times New Roman"/>
          <w:sz w:val="28"/>
          <w:szCs w:val="32"/>
        </w:rPr>
        <w:t>，</w:t>
      </w:r>
      <w:r>
        <w:rPr>
          <w:rFonts w:hint="default" w:ascii="仿宋" w:hAnsi="仿宋" w:eastAsia="仿宋" w:cs="Times New Roman"/>
          <w:sz w:val="28"/>
          <w:szCs w:val="32"/>
          <w:lang w:val="en-US" w:eastAsia="zh-CN"/>
        </w:rPr>
        <w:t>三明市沙县区闽虬农业发展有限公司</w:t>
      </w:r>
      <w:r>
        <w:rPr>
          <w:rFonts w:hint="eastAsia" w:ascii="仿宋" w:hAnsi="仿宋" w:eastAsia="仿宋" w:cs="Times New Roman"/>
          <w:sz w:val="28"/>
          <w:szCs w:val="32"/>
        </w:rPr>
        <w:t>，</w:t>
      </w:r>
      <w:r>
        <w:rPr>
          <w:rFonts w:hint="default" w:ascii="仿宋" w:hAnsi="仿宋" w:eastAsia="仿宋" w:cs="Times New Roman"/>
          <w:sz w:val="28"/>
          <w:szCs w:val="32"/>
          <w:lang w:val="en-US" w:eastAsia="zh-CN"/>
        </w:rPr>
        <w:t>漳州阿伟水族工贸有限公司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，</w:t>
      </w:r>
      <w:r>
        <w:rPr>
          <w:rFonts w:hint="default" w:ascii="仿宋" w:hAnsi="仿宋" w:eastAsia="仿宋" w:cs="Times New Roman"/>
          <w:sz w:val="28"/>
          <w:szCs w:val="32"/>
          <w:lang w:val="en-US" w:eastAsia="zh-CN"/>
        </w:rPr>
        <w:t>福建省森鑫生态农业发展有限公司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</w:p>
    <w:p>
      <w:pPr>
        <w:snapToGrid w:val="0"/>
        <w:spacing w:line="360" w:lineRule="auto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六、</w:t>
      </w:r>
      <w:r>
        <w:rPr>
          <w:rFonts w:ascii="黑体" w:hAnsi="黑体" w:eastAsia="黑体" w:cs="Times New Roman"/>
          <w:bCs/>
          <w:sz w:val="28"/>
          <w:szCs w:val="32"/>
        </w:rPr>
        <w:t>主要完成人及贡献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本项目成果主要完成人姓名及其主要贡献如下表1所示。</w:t>
      </w:r>
    </w:p>
    <w:p>
      <w:pPr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表1 成果主要完成人及其贡献汇总表</w:t>
      </w:r>
    </w:p>
    <w:tbl>
      <w:tblPr>
        <w:tblStyle w:val="9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1276"/>
        <w:gridCol w:w="4393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主要完成人</w:t>
            </w:r>
          </w:p>
        </w:tc>
        <w:tc>
          <w:tcPr>
            <w:tcW w:w="2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主要贡献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薛凌展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项目的总体规划、研究思路、技术路线的制定与科研计划安排，对科技创新与集成推广进行把关，并具体负责生物学特性、分子机制及规模化繁育技术研究工作，牵头撰写项目工作报告与技术总结。其对创新点一、创新点二和创新点三都做出了创造性贡献。发表论文8篇，获授权专利4件，发布地方标准2项、团体标准2项、企业标准1项。在本项目的工作量占本人总工作量的80%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秦志清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的研究思路、技术路线的制定与科研计划安排，并具体负责苗种规模化繁育技术、营养与饲料研究、养殖模式研发及增养殖技术研究工作，牵头撰写项目查新资料及材料汇总与审核。其对创新点二和创新点三做出了创造性贡献。发表论文12篇，获授权专利3件，发布团体标准1项、企业标准3项。在本项目的工作量占本人总工作量的75%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李名友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具体负责生殖干细胞及分子机制研究工作。其对创新点一做出了创造性贡献。发表论文5篇，获授权专利1件。在本项目的工作量占本人总工作量的70%。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上海海洋大学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陈度煌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技术路线的制定与科研计划安排，具体负责营养需求及功能性添加剂研究工作，并撰写项目技术总结材料。其对创新点二和创新点三做出了创造性贡献。发表论文3篇，获授权专利1件，发布企业标准3项。在本项目的工作量占本人总工作量的65%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2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樊海平</w:t>
            </w:r>
          </w:p>
        </w:tc>
        <w:tc>
          <w:tcPr>
            <w:tcW w:w="2627" w:type="pct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的总体规划、研究思路、技术路线的制定，对科技创新与技术推广进行把关，并具体负责病害研究及养殖示范工作。其对创新点二和创新点三做出了创造性贡献。发表论文4篇，发布地方标准1项、团体标准1项。在本项目的工作量占本人总工作量的65%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胡振禧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负责项目技术路线的制定与科研计划安排，具体负责苗种繁育及养殖模式研发、增殖放流工作。其对创创新点二和创新点三做出了贡献。参与发表论文5篇，发布企业标准3项。在本项目的工作量占本人总工作量的60%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陈斌</w:t>
            </w:r>
          </w:p>
        </w:tc>
        <w:tc>
          <w:tcPr>
            <w:tcW w:w="2627" w:type="pct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参与项目技术路线的制定与科研计划安排，具体负责流行病学调查及病原分析工作。其对创新点三做出了贡献。发表论文2篇、参与发表论文7篇。在本项目的工作量占本人总工作量的60%。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吴妹英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参与项目科研计划安排，具体负责生物学特性研究工作，参与撰写项目工作报告。其对创新点三做出了贡献。发表论文1篇、参与发表论文3篇。在本项目的工作量占本人总工作量的55%。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张坤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参与项目技术路线的制定与科研计划安排，具体负责专用配合饲料开发及养殖示范应用工作。其对创新点三做出了贡献。发表论文3篇。在本项目的工作量占本人总工作量的50%。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福建天马科技集团股份有限公司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吴斌</w:t>
            </w:r>
          </w:p>
        </w:tc>
        <w:tc>
          <w:tcPr>
            <w:tcW w:w="2627" w:type="pc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参与项目的总体规划和技术路线的制定，具体负责病害研究及养殖示范工作。其对创新点四做出了贡献。发表论文1篇、参与发表论文7篇，发布团体标准1项。在本项目的工作量占本人总工作量的50%。</w:t>
            </w:r>
          </w:p>
        </w:tc>
        <w:tc>
          <w:tcPr>
            <w:tcW w:w="12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淡水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水产研究所</w:t>
            </w:r>
          </w:p>
        </w:tc>
      </w:tr>
    </w:tbl>
    <w:p>
      <w:pPr>
        <w:snapToGrid w:val="0"/>
        <w:spacing w:before="312" w:beforeLines="100" w:line="360" w:lineRule="auto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七、</w:t>
      </w:r>
      <w:r>
        <w:rPr>
          <w:rFonts w:ascii="黑体" w:hAnsi="黑体" w:eastAsia="黑体" w:cs="Times New Roman"/>
          <w:bCs/>
          <w:sz w:val="28"/>
          <w:szCs w:val="32"/>
        </w:rPr>
        <w:t>主要</w:t>
      </w:r>
      <w:r>
        <w:rPr>
          <w:rFonts w:hint="eastAsia" w:ascii="黑体" w:hAnsi="黑体" w:eastAsia="黑体" w:cs="Times New Roman"/>
          <w:bCs/>
          <w:sz w:val="28"/>
          <w:szCs w:val="32"/>
        </w:rPr>
        <w:t>知识产权及</w:t>
      </w:r>
      <w:r>
        <w:rPr>
          <w:rFonts w:ascii="黑体" w:hAnsi="黑体" w:eastAsia="黑体" w:cs="Times New Roman"/>
          <w:bCs/>
          <w:sz w:val="28"/>
          <w:szCs w:val="32"/>
        </w:rPr>
        <w:t>代表性论文著作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 w:bidi="ar-SA"/>
        </w:rPr>
        <w:t>获国家专利10件，其中发明专利4件；发表学术论文47篇，其中SCI收录8篇；发布地方标准2项、团体标准2项、企业标准11项</w:t>
      </w:r>
      <w:r>
        <w:rPr>
          <w:rFonts w:hint="eastAsia" w:ascii="仿宋" w:hAnsi="仿宋" w:eastAsia="仿宋" w:cs="Times New Roman"/>
          <w:sz w:val="28"/>
          <w:szCs w:val="32"/>
        </w:rPr>
        <w:t>。</w:t>
      </w:r>
    </w:p>
    <w:p>
      <w:pPr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表</w:t>
      </w: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sz w:val="24"/>
          <w:szCs w:val="24"/>
        </w:rPr>
        <w:t>成果主要</w:t>
      </w:r>
      <w:r>
        <w:rPr>
          <w:rFonts w:ascii="黑体" w:hAnsi="黑体" w:eastAsia="黑体" w:cs="Times New Roman"/>
          <w:sz w:val="24"/>
          <w:szCs w:val="24"/>
        </w:rPr>
        <w:t>10件代表性</w:t>
      </w:r>
      <w:r>
        <w:rPr>
          <w:rFonts w:hint="eastAsia" w:ascii="黑体" w:hAnsi="黑体" w:eastAsia="黑体" w:cs="Times New Roman"/>
          <w:sz w:val="24"/>
          <w:szCs w:val="24"/>
        </w:rPr>
        <w:t>授权国家</w:t>
      </w:r>
      <w:r>
        <w:rPr>
          <w:rFonts w:ascii="黑体" w:hAnsi="黑体" w:eastAsia="黑体" w:cs="Times New Roman"/>
          <w:sz w:val="24"/>
          <w:szCs w:val="24"/>
        </w:rPr>
        <w:t>专利</w:t>
      </w:r>
    </w:p>
    <w:tbl>
      <w:tblPr>
        <w:tblStyle w:val="8"/>
        <w:tblW w:w="87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950"/>
        <w:gridCol w:w="2598"/>
        <w:gridCol w:w="1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授权专利名称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授权号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马口鱼精原干细胞系的建立及其诱导分化方法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ZL202110172321.X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大刺鳅性别鉴定的特异性DNA片段及应用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ZL202010057366.8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一种半刺厚唇鱼全人工育苗方法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ZL201611141687.6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8"/>
                <w:sz w:val="24"/>
                <w:szCs w:val="24"/>
                <w:shd w:val="clear" w:color="auto" w:fill="FFFFFF"/>
              </w:rPr>
              <w:t>一茬半刺厚唇鱼混养两茬日本沼虾的池塘混养方法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8"/>
                <w:sz w:val="24"/>
                <w:szCs w:val="24"/>
                <w:shd w:val="clear" w:color="auto" w:fill="FFFFFF"/>
              </w:rPr>
              <w:t>ZL201710359796.3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一种半刺厚唇鱼孵化装置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ZL201621366110.0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一种大刺鳅孵化器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ZL201420828842.1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一种光唇鱼自然受精及受精卵收集的仿生态装置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ZL202223523108.8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新型专利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一种大刺鳅栖息台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ZL201420827848.7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新型专利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一种光唇鱼属鱼类用浮性饵料台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ZL202220975248.X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新型专利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一种大刺鳅简易式循环水养殖系统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shd w:val="clear" w:color="auto" w:fill="FFFFFF"/>
              </w:rPr>
              <w:t>ZL201920724568.6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新型专利</w:t>
            </w:r>
          </w:p>
        </w:tc>
      </w:tr>
    </w:tbl>
    <w:p>
      <w:pPr>
        <w:spacing w:before="312" w:beforeLines="100"/>
        <w:jc w:val="center"/>
        <w:rPr>
          <w:rFonts w:ascii="黑体" w:hAnsi="黑体" w:eastAsia="黑体" w:cs="Times New Roman"/>
          <w:sz w:val="24"/>
          <w:szCs w:val="24"/>
        </w:rPr>
      </w:pPr>
    </w:p>
    <w:p>
      <w:pPr>
        <w:spacing w:before="312" w:beforeLines="100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表</w:t>
      </w:r>
      <w:r>
        <w:rPr>
          <w:rFonts w:hint="eastAsia" w:ascii="黑体" w:hAnsi="黑体" w:eastAsia="黑体" w:cs="Times New Roman"/>
          <w:sz w:val="24"/>
          <w:szCs w:val="24"/>
        </w:rPr>
        <w:t>3</w:t>
      </w:r>
      <w:r>
        <w:rPr>
          <w:rFonts w:ascii="黑体" w:hAnsi="黑体" w:eastAsia="黑体" w:cs="Times New Roman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sz w:val="24"/>
          <w:szCs w:val="24"/>
        </w:rPr>
        <w:t>成果主要</w:t>
      </w:r>
      <w:r>
        <w:rPr>
          <w:rFonts w:ascii="黑体" w:hAnsi="黑体" w:eastAsia="黑体" w:cs="Times New Roman"/>
          <w:sz w:val="24"/>
          <w:szCs w:val="24"/>
        </w:rPr>
        <w:t>5篇代表性论文</w:t>
      </w:r>
    </w:p>
    <w:tbl>
      <w:tblPr>
        <w:tblStyle w:val="8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859"/>
        <w:gridCol w:w="380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刊名</w:t>
            </w:r>
          </w:p>
        </w:tc>
        <w:tc>
          <w:tcPr>
            <w:tcW w:w="3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论文名称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SCI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/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EI收录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Genome Biology</w:t>
            </w:r>
          </w:p>
        </w:tc>
        <w:tc>
          <w:tcPr>
            <w:tcW w:w="380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Telomere-to-telomere assembly of a fish Y chromosome reveals the origin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of a young sex chromosome pair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Biology</w:t>
            </w:r>
          </w:p>
        </w:tc>
        <w:tc>
          <w:tcPr>
            <w:tcW w:w="3803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Generation of a Normal Long-Term-Cultured Chinese Hook Snout Carp Spermatogonial Stem Cell Line Capable of Sperm Production In Vitro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Aquaculture</w:t>
            </w:r>
          </w:p>
        </w:tc>
        <w:tc>
          <w:tcPr>
            <w:tcW w:w="3803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Screening and characterization of sex-specific markers by 2b-RAD sequencing in zig-zag eel (Mastacembelus armatus) with implication of XY sex determination system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Biology</w:t>
            </w:r>
          </w:p>
        </w:tc>
        <w:tc>
          <w:tcPr>
            <w:tcW w:w="3803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ntegrated mRNA and miRNA Expression Profile Analysis of Female and Male Gonads in Acrossocheilus fasciatus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水生生物学报</w:t>
            </w:r>
          </w:p>
        </w:tc>
        <w:tc>
          <w:tcPr>
            <w:tcW w:w="380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外源激素、温度和亲本规格对大刺鳅人工催产及孵化的影响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-</w:t>
            </w:r>
          </w:p>
        </w:tc>
      </w:tr>
    </w:tbl>
    <w:p>
      <w:pPr>
        <w:snapToGrid w:val="0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E9"/>
    <w:rsid w:val="00011AB1"/>
    <w:rsid w:val="00081798"/>
    <w:rsid w:val="00091AB8"/>
    <w:rsid w:val="00092022"/>
    <w:rsid w:val="00094A24"/>
    <w:rsid w:val="000976FF"/>
    <w:rsid w:val="000E595F"/>
    <w:rsid w:val="001116E7"/>
    <w:rsid w:val="00124C0D"/>
    <w:rsid w:val="001459BD"/>
    <w:rsid w:val="00174146"/>
    <w:rsid w:val="0019570C"/>
    <w:rsid w:val="001C10D5"/>
    <w:rsid w:val="001D1A3A"/>
    <w:rsid w:val="001E3508"/>
    <w:rsid w:val="001F637E"/>
    <w:rsid w:val="002112A2"/>
    <w:rsid w:val="00251228"/>
    <w:rsid w:val="002E7B74"/>
    <w:rsid w:val="002F5E96"/>
    <w:rsid w:val="00366729"/>
    <w:rsid w:val="00375CAA"/>
    <w:rsid w:val="00430491"/>
    <w:rsid w:val="00436E7C"/>
    <w:rsid w:val="004406F9"/>
    <w:rsid w:val="004716C8"/>
    <w:rsid w:val="00475AAE"/>
    <w:rsid w:val="00483367"/>
    <w:rsid w:val="004A21E6"/>
    <w:rsid w:val="00515A4A"/>
    <w:rsid w:val="00517D59"/>
    <w:rsid w:val="00534CE8"/>
    <w:rsid w:val="00536580"/>
    <w:rsid w:val="00537287"/>
    <w:rsid w:val="00546292"/>
    <w:rsid w:val="00572039"/>
    <w:rsid w:val="005E4251"/>
    <w:rsid w:val="005E60F7"/>
    <w:rsid w:val="00637266"/>
    <w:rsid w:val="0064363D"/>
    <w:rsid w:val="00643AC6"/>
    <w:rsid w:val="006626C6"/>
    <w:rsid w:val="006B518C"/>
    <w:rsid w:val="006C3B5F"/>
    <w:rsid w:val="007018ED"/>
    <w:rsid w:val="0073334B"/>
    <w:rsid w:val="0074298A"/>
    <w:rsid w:val="007554D3"/>
    <w:rsid w:val="0077014D"/>
    <w:rsid w:val="00771CD3"/>
    <w:rsid w:val="007B05DD"/>
    <w:rsid w:val="007C6722"/>
    <w:rsid w:val="00801B48"/>
    <w:rsid w:val="0080340E"/>
    <w:rsid w:val="00814232"/>
    <w:rsid w:val="00853E34"/>
    <w:rsid w:val="00860359"/>
    <w:rsid w:val="00896424"/>
    <w:rsid w:val="009220DF"/>
    <w:rsid w:val="00A130AC"/>
    <w:rsid w:val="00A6064F"/>
    <w:rsid w:val="00A702BC"/>
    <w:rsid w:val="00A74C19"/>
    <w:rsid w:val="00AE68E9"/>
    <w:rsid w:val="00B85609"/>
    <w:rsid w:val="00B95E32"/>
    <w:rsid w:val="00B96F40"/>
    <w:rsid w:val="00BB4C77"/>
    <w:rsid w:val="00BE3CC9"/>
    <w:rsid w:val="00C276EC"/>
    <w:rsid w:val="00C361B4"/>
    <w:rsid w:val="00C6293D"/>
    <w:rsid w:val="00C83329"/>
    <w:rsid w:val="00C952E9"/>
    <w:rsid w:val="00D35875"/>
    <w:rsid w:val="00D723FA"/>
    <w:rsid w:val="00D777BB"/>
    <w:rsid w:val="00DF61A3"/>
    <w:rsid w:val="00E04061"/>
    <w:rsid w:val="00E15FB4"/>
    <w:rsid w:val="00E3589F"/>
    <w:rsid w:val="00E80D47"/>
    <w:rsid w:val="00E91585"/>
    <w:rsid w:val="00ED2020"/>
    <w:rsid w:val="00ED31A6"/>
    <w:rsid w:val="00EF2736"/>
    <w:rsid w:val="00F05827"/>
    <w:rsid w:val="00F406EC"/>
    <w:rsid w:val="00F71AC1"/>
    <w:rsid w:val="00F7655E"/>
    <w:rsid w:val="07F34E2E"/>
    <w:rsid w:val="0B191A0B"/>
    <w:rsid w:val="11216627"/>
    <w:rsid w:val="1211524D"/>
    <w:rsid w:val="175127A4"/>
    <w:rsid w:val="1BBB6955"/>
    <w:rsid w:val="1E732910"/>
    <w:rsid w:val="20040A2D"/>
    <w:rsid w:val="245048BD"/>
    <w:rsid w:val="2A452B03"/>
    <w:rsid w:val="2DAE1FD2"/>
    <w:rsid w:val="36283118"/>
    <w:rsid w:val="4BEC0BC3"/>
    <w:rsid w:val="638A7B47"/>
    <w:rsid w:val="68C44151"/>
    <w:rsid w:val="69EB58EE"/>
    <w:rsid w:val="6CEA34CF"/>
    <w:rsid w:val="6E581371"/>
    <w:rsid w:val="74D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">
    <w:name w:val="_Style 2"/>
    <w:basedOn w:val="1"/>
    <w:uiPriority w:val="0"/>
  </w:style>
  <w:style w:type="character" w:customStyle="1" w:styleId="20">
    <w:name w:val="font51"/>
    <w:basedOn w:val="10"/>
    <w:qFormat/>
    <w:uiPriority w:val="0"/>
    <w:rPr>
      <w:rFonts w:hint="default" w:ascii="Times New Roman Italic" w:hAnsi="Times New Roman Italic" w:eastAsia="Times New Roman Italic" w:cs="Times New Roman Italic"/>
      <w:color w:val="000000"/>
      <w:sz w:val="21"/>
      <w:szCs w:val="21"/>
      <w:u w:val="none"/>
    </w:rPr>
  </w:style>
  <w:style w:type="character" w:customStyle="1" w:styleId="21">
    <w:name w:val="font31"/>
    <w:basedOn w:val="10"/>
    <w:qFormat/>
    <w:uiPriority w:val="0"/>
    <w:rPr>
      <w:rFonts w:hint="default" w:ascii="Times New Roman Italic" w:hAnsi="Times New Roman Italic" w:eastAsia="Times New Roman Italic" w:cs="Times New Roman Italic"/>
      <w:i/>
      <w:i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4336-476A-42ED-A505-A6FF4A2BA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2812</Words>
  <Characters>3472</Characters>
  <Lines>18</Lines>
  <Paragraphs>5</Paragraphs>
  <TotalTime>2</TotalTime>
  <ScaleCrop>false</ScaleCrop>
  <LinksUpToDate>false</LinksUpToDate>
  <CharactersWithSpaces>3546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2022-12-21T03:59:00Z</dcterms:created>
  <dc:creator>13906008638@163.com</dc:creator>
  <cp:lastModifiedBy>大元</cp:lastModifiedBy>
  <cp:lastPrinted>2023-01-16T03:26:00Z</cp:lastPrinted>
  <dcterms:modified xsi:type="dcterms:W3CDTF">2024-07-11T02:32:06Z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1676EF9C35074A14B51C7D8F3FB43B53_13</vt:lpwstr>
  </property>
</Properties>
</file>