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C0E29" w:rsidRPr="00CC0E29" w:rsidRDefault="00CC0E29" w:rsidP="00CC0E29">
      <w:pPr>
        <w:widowControl/>
        <w:shd w:val="clear" w:color="auto" w:fill="FFFFFF"/>
        <w:jc w:val="center"/>
        <w:outlineLvl w:val="0"/>
        <w:rPr>
          <w:rFonts w:ascii="Microsoft Yahei" w:eastAsia="宋体" w:hAnsi="Microsoft Yahei" w:cs="宋体"/>
          <w:color w:val="272A30"/>
          <w:kern w:val="36"/>
          <w:sz w:val="36"/>
          <w:szCs w:val="36"/>
        </w:rPr>
      </w:pPr>
      <w:r w:rsidRPr="00CC0E29">
        <w:rPr>
          <w:rFonts w:ascii="Microsoft Yahei" w:eastAsia="宋体" w:hAnsi="Microsoft Yahei" w:cs="宋体" w:hint="eastAsia"/>
          <w:color w:val="272A30"/>
          <w:kern w:val="36"/>
          <w:sz w:val="36"/>
          <w:szCs w:val="36"/>
        </w:rPr>
        <w:fldChar w:fldCharType="begin"/>
      </w:r>
      <w:r w:rsidRPr="00CC0E29">
        <w:rPr>
          <w:rFonts w:ascii="Microsoft Yahei" w:eastAsia="宋体" w:hAnsi="Microsoft Yahei" w:cs="宋体" w:hint="eastAsia"/>
          <w:color w:val="272A30"/>
          <w:kern w:val="36"/>
          <w:sz w:val="36"/>
          <w:szCs w:val="36"/>
        </w:rPr>
        <w:instrText xml:space="preserve"> HYPERLINK "http://www.ddzzd.com/qichexiaofei/1198432.html" </w:instrText>
      </w:r>
      <w:r w:rsidRPr="00CC0E29">
        <w:rPr>
          <w:rFonts w:ascii="Microsoft Yahei" w:eastAsia="宋体" w:hAnsi="Microsoft Yahei" w:cs="宋体" w:hint="eastAsia"/>
          <w:color w:val="272A30"/>
          <w:kern w:val="36"/>
          <w:sz w:val="36"/>
          <w:szCs w:val="36"/>
        </w:rPr>
        <w:fldChar w:fldCharType="separate"/>
      </w:r>
      <w:r w:rsidRPr="00CC0E29">
        <w:rPr>
          <w:rFonts w:ascii="Microsoft Yahei" w:eastAsia="宋体" w:hAnsi="Microsoft Yahei" w:cs="宋体"/>
          <w:color w:val="272A30"/>
          <w:kern w:val="36"/>
          <w:sz w:val="36"/>
          <w:szCs w:val="36"/>
        </w:rPr>
        <w:t>上海市农业农村委员会、上海市财政局关于印发《上海市科技兴农项目及资金管理办法》的通知</w:t>
      </w:r>
      <w:r w:rsidRPr="00CC0E29">
        <w:rPr>
          <w:rFonts w:ascii="Microsoft Yahei" w:eastAsia="宋体" w:hAnsi="Microsoft Yahei" w:cs="宋体" w:hint="eastAsia"/>
          <w:color w:val="272A30"/>
          <w:kern w:val="36"/>
          <w:sz w:val="36"/>
          <w:szCs w:val="36"/>
        </w:rPr>
        <w:fldChar w:fldCharType="end"/>
      </w:r>
    </w:p>
    <w:bookmarkEnd w:id="0"/>
    <w:p w:rsidR="00CC0E29" w:rsidRDefault="00CC0E29" w:rsidP="00CC0E29">
      <w:pPr>
        <w:pStyle w:val="a6"/>
        <w:spacing w:before="0" w:beforeAutospacing="0" w:after="0" w:afterAutospacing="0"/>
        <w:jc w:val="center"/>
        <w:rPr>
          <w:rFonts w:ascii="Verdana" w:hAnsi="Verdana"/>
          <w:color w:val="2A2A2A"/>
          <w:sz w:val="21"/>
          <w:szCs w:val="21"/>
        </w:rPr>
      </w:pPr>
      <w:r>
        <w:rPr>
          <w:rStyle w:val="a7"/>
          <w:rFonts w:ascii="Verdana" w:hAnsi="Verdana"/>
          <w:color w:val="2A2A2A"/>
          <w:sz w:val="27"/>
          <w:szCs w:val="27"/>
        </w:rPr>
        <w:t>上海市科技兴农项目及资金管理办法</w:t>
      </w:r>
    </w:p>
    <w:p w:rsidR="00CC0E29" w:rsidRDefault="00CC0E29" w:rsidP="00CC0E29">
      <w:pPr>
        <w:pStyle w:val="a6"/>
        <w:spacing w:before="0" w:beforeAutospacing="0" w:after="0" w:afterAutospacing="0"/>
        <w:rPr>
          <w:rFonts w:ascii="Verdana" w:hAnsi="Verdana"/>
          <w:color w:val="2A2A2A"/>
          <w:sz w:val="21"/>
          <w:szCs w:val="21"/>
        </w:rPr>
      </w:pPr>
      <w:r>
        <w:rPr>
          <w:rFonts w:ascii="Verdana" w:hAnsi="Verdana"/>
          <w:color w:val="2A2A2A"/>
          <w:sz w:val="21"/>
          <w:szCs w:val="21"/>
        </w:rPr>
        <w:t>沪农委</w:t>
      </w:r>
      <w:proofErr w:type="gramStart"/>
      <w:r>
        <w:rPr>
          <w:rFonts w:ascii="Verdana" w:hAnsi="Verdana"/>
          <w:color w:val="2A2A2A"/>
          <w:sz w:val="21"/>
          <w:szCs w:val="21"/>
        </w:rPr>
        <w:t>规</w:t>
      </w:r>
      <w:proofErr w:type="gramEnd"/>
      <w:r>
        <w:rPr>
          <w:rFonts w:ascii="Verdana" w:hAnsi="Verdana"/>
          <w:color w:val="2A2A2A"/>
          <w:sz w:val="21"/>
          <w:szCs w:val="21"/>
        </w:rPr>
        <w:t>〔</w:t>
      </w:r>
      <w:r>
        <w:rPr>
          <w:rFonts w:ascii="Verdana" w:hAnsi="Verdana"/>
          <w:color w:val="2A2A2A"/>
          <w:sz w:val="21"/>
          <w:szCs w:val="21"/>
        </w:rPr>
        <w:t>2019</w:t>
      </w:r>
      <w:r>
        <w:rPr>
          <w:rFonts w:ascii="Verdana" w:hAnsi="Verdana"/>
          <w:color w:val="2A2A2A"/>
          <w:sz w:val="21"/>
          <w:szCs w:val="21"/>
        </w:rPr>
        <w:t>〕</w:t>
      </w:r>
      <w:r>
        <w:rPr>
          <w:rFonts w:ascii="Verdana" w:hAnsi="Verdana"/>
          <w:color w:val="2A2A2A"/>
          <w:sz w:val="21"/>
          <w:szCs w:val="21"/>
        </w:rPr>
        <w:t>18</w:t>
      </w:r>
      <w:r>
        <w:rPr>
          <w:rFonts w:ascii="Verdana" w:hAnsi="Verdana"/>
          <w:color w:val="2A2A2A"/>
          <w:sz w:val="21"/>
          <w:szCs w:val="21"/>
        </w:rPr>
        <w:t>号</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上海市农业农村委员会、上海市财政局关于印发《上海市科技兴农项目及资金管理办法》的通知</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各有关单位</w:t>
      </w:r>
      <w:r>
        <w:rPr>
          <w:rFonts w:ascii="Verdana" w:hAnsi="Verdana"/>
          <w:color w:val="2A2A2A"/>
          <w:sz w:val="21"/>
          <w:szCs w:val="21"/>
        </w:rPr>
        <w:t>:</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为贯彻落实《国务院办公厅关于进一步赋予科研机构和人员更大自主权有关文件贯彻落实工作的通知》（国办发〔</w:t>
      </w:r>
      <w:r>
        <w:rPr>
          <w:rFonts w:ascii="Verdana" w:hAnsi="Verdana"/>
          <w:color w:val="2A2A2A"/>
          <w:sz w:val="21"/>
          <w:szCs w:val="21"/>
        </w:rPr>
        <w:t>2018</w:t>
      </w:r>
      <w:r>
        <w:rPr>
          <w:rFonts w:ascii="Verdana" w:hAnsi="Verdana"/>
          <w:color w:val="2A2A2A"/>
          <w:sz w:val="21"/>
          <w:szCs w:val="21"/>
        </w:rPr>
        <w:t>〕</w:t>
      </w:r>
      <w:r>
        <w:rPr>
          <w:rFonts w:ascii="Verdana" w:hAnsi="Verdana"/>
          <w:color w:val="2A2A2A"/>
          <w:sz w:val="21"/>
          <w:szCs w:val="21"/>
        </w:rPr>
        <w:t>127</w:t>
      </w:r>
      <w:r>
        <w:rPr>
          <w:rFonts w:ascii="Verdana" w:hAnsi="Verdana"/>
          <w:color w:val="2A2A2A"/>
          <w:sz w:val="21"/>
          <w:szCs w:val="21"/>
        </w:rPr>
        <w:t>号）、《关于进一步深化科技体制机制改革增强科技创新中心策源能力的意见》（沪委办发〔</w:t>
      </w:r>
      <w:r>
        <w:rPr>
          <w:rFonts w:ascii="Verdana" w:hAnsi="Verdana"/>
          <w:color w:val="2A2A2A"/>
          <w:sz w:val="21"/>
          <w:szCs w:val="21"/>
        </w:rPr>
        <w:t>2019</w:t>
      </w:r>
      <w:r>
        <w:rPr>
          <w:rFonts w:ascii="Verdana" w:hAnsi="Verdana"/>
          <w:color w:val="2A2A2A"/>
          <w:sz w:val="21"/>
          <w:szCs w:val="21"/>
        </w:rPr>
        <w:t>〕</w:t>
      </w:r>
      <w:r>
        <w:rPr>
          <w:rFonts w:ascii="Verdana" w:hAnsi="Verdana"/>
          <w:color w:val="2A2A2A"/>
          <w:sz w:val="21"/>
          <w:szCs w:val="21"/>
        </w:rPr>
        <w:t>78</w:t>
      </w:r>
      <w:r>
        <w:rPr>
          <w:rFonts w:ascii="Verdana" w:hAnsi="Verdana"/>
          <w:color w:val="2A2A2A"/>
          <w:sz w:val="21"/>
          <w:szCs w:val="21"/>
        </w:rPr>
        <w:t>号）精神，进一步提升上海市科技兴农项目及资金管理科学化、制度化、规范化水平，提高资金使用效率，根据国家和本市科研计划专项经费管理有关规定，结合本市农业科技发展实际情况，市农业农村委会同市财政局对《上海市科技兴农项目及资金管理办法》（沪农委</w:t>
      </w:r>
      <w:proofErr w:type="gramStart"/>
      <w:r>
        <w:rPr>
          <w:rFonts w:ascii="Verdana" w:hAnsi="Verdana"/>
          <w:color w:val="2A2A2A"/>
          <w:sz w:val="21"/>
          <w:szCs w:val="21"/>
        </w:rPr>
        <w:t>规</w:t>
      </w:r>
      <w:proofErr w:type="gramEnd"/>
      <w:r>
        <w:rPr>
          <w:rFonts w:ascii="Verdana" w:hAnsi="Verdana"/>
          <w:color w:val="2A2A2A"/>
          <w:sz w:val="21"/>
          <w:szCs w:val="21"/>
        </w:rPr>
        <w:t>〔</w:t>
      </w:r>
      <w:r>
        <w:rPr>
          <w:rFonts w:ascii="Verdana" w:hAnsi="Verdana"/>
          <w:color w:val="2A2A2A"/>
          <w:sz w:val="21"/>
          <w:szCs w:val="21"/>
        </w:rPr>
        <w:t>2018</w:t>
      </w:r>
      <w:r>
        <w:rPr>
          <w:rFonts w:ascii="Verdana" w:hAnsi="Verdana"/>
          <w:color w:val="2A2A2A"/>
          <w:sz w:val="21"/>
          <w:szCs w:val="21"/>
        </w:rPr>
        <w:t>〕</w:t>
      </w:r>
      <w:r>
        <w:rPr>
          <w:rFonts w:ascii="Verdana" w:hAnsi="Verdana"/>
          <w:color w:val="2A2A2A"/>
          <w:sz w:val="21"/>
          <w:szCs w:val="21"/>
        </w:rPr>
        <w:t>4</w:t>
      </w:r>
      <w:r>
        <w:rPr>
          <w:rFonts w:ascii="Verdana" w:hAnsi="Verdana"/>
          <w:color w:val="2A2A2A"/>
          <w:sz w:val="21"/>
          <w:szCs w:val="21"/>
        </w:rPr>
        <w:t>号）予以修订，现印发给你们，请认真贯彻执行。</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hint="eastAsia"/>
          <w:color w:val="2A2A2A"/>
          <w:sz w:val="21"/>
          <w:szCs w:val="21"/>
        </w:rPr>
        <w:t xml:space="preserve">                                                       </w:t>
      </w:r>
      <w:r>
        <w:rPr>
          <w:rFonts w:ascii="Verdana" w:hAnsi="Verdana"/>
          <w:color w:val="2A2A2A"/>
          <w:sz w:val="21"/>
          <w:szCs w:val="21"/>
        </w:rPr>
        <w:t>上海市农业农村委员会</w:t>
      </w:r>
      <w:r>
        <w:rPr>
          <w:rFonts w:ascii="Verdana" w:hAnsi="Verdana"/>
          <w:color w:val="2A2A2A"/>
          <w:sz w:val="21"/>
          <w:szCs w:val="21"/>
        </w:rPr>
        <w:br/>
        <w:t> </w:t>
      </w:r>
      <w:r>
        <w:rPr>
          <w:rFonts w:ascii="Verdana" w:hAnsi="Verdana"/>
          <w:color w:val="2A2A2A"/>
          <w:sz w:val="21"/>
          <w:szCs w:val="21"/>
        </w:rPr>
        <w:br/>
      </w:r>
      <w:r>
        <w:rPr>
          <w:rFonts w:ascii="Verdana" w:hAnsi="Verdana" w:hint="eastAsia"/>
          <w:color w:val="2A2A2A"/>
          <w:sz w:val="21"/>
          <w:szCs w:val="21"/>
        </w:rPr>
        <w:t xml:space="preserve">                                                                   </w:t>
      </w:r>
      <w:r>
        <w:rPr>
          <w:rFonts w:ascii="Verdana" w:hAnsi="Verdana"/>
          <w:color w:val="2A2A2A"/>
          <w:sz w:val="21"/>
          <w:szCs w:val="21"/>
        </w:rPr>
        <w:t>上海市财政局</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hint="eastAsia"/>
          <w:color w:val="2A2A2A"/>
          <w:sz w:val="21"/>
          <w:szCs w:val="21"/>
        </w:rPr>
        <w:t xml:space="preserve">                                                          </w:t>
      </w:r>
      <w:r>
        <w:rPr>
          <w:rFonts w:ascii="Verdana" w:hAnsi="Verdana"/>
          <w:color w:val="2A2A2A"/>
          <w:sz w:val="21"/>
          <w:szCs w:val="21"/>
        </w:rPr>
        <w:t xml:space="preserve">　</w:t>
      </w:r>
      <w:r>
        <w:rPr>
          <w:rFonts w:ascii="Verdana" w:hAnsi="Verdana"/>
          <w:color w:val="2A2A2A"/>
          <w:sz w:val="21"/>
          <w:szCs w:val="21"/>
        </w:rPr>
        <w:t>2019</w:t>
      </w:r>
      <w:r>
        <w:rPr>
          <w:rFonts w:ascii="Verdana" w:hAnsi="Verdana"/>
          <w:color w:val="2A2A2A"/>
          <w:sz w:val="21"/>
          <w:szCs w:val="21"/>
        </w:rPr>
        <w:t>年</w:t>
      </w:r>
      <w:r>
        <w:rPr>
          <w:rFonts w:ascii="Verdana" w:hAnsi="Verdana"/>
          <w:color w:val="2A2A2A"/>
          <w:sz w:val="21"/>
          <w:szCs w:val="21"/>
        </w:rPr>
        <w:t>9</w:t>
      </w:r>
      <w:r>
        <w:rPr>
          <w:rFonts w:ascii="Verdana" w:hAnsi="Verdana"/>
          <w:color w:val="2A2A2A"/>
          <w:sz w:val="21"/>
          <w:szCs w:val="21"/>
        </w:rPr>
        <w:t>月</w:t>
      </w:r>
      <w:r>
        <w:rPr>
          <w:rFonts w:ascii="Verdana" w:hAnsi="Verdana"/>
          <w:color w:val="2A2A2A"/>
          <w:sz w:val="21"/>
          <w:szCs w:val="21"/>
        </w:rPr>
        <w:t>25</w:t>
      </w:r>
      <w:r>
        <w:rPr>
          <w:rFonts w:ascii="Verdana" w:hAnsi="Verdana"/>
          <w:color w:val="2A2A2A"/>
          <w:sz w:val="21"/>
          <w:szCs w:val="21"/>
        </w:rPr>
        <w:t>日</w:t>
      </w:r>
      <w:r>
        <w:rPr>
          <w:rFonts w:ascii="Verdana" w:hAnsi="Verdana"/>
          <w:color w:val="2A2A2A"/>
          <w:sz w:val="21"/>
          <w:szCs w:val="21"/>
        </w:rPr>
        <w:br/>
        <w:t> </w:t>
      </w:r>
      <w:r>
        <w:rPr>
          <w:rFonts w:ascii="Verdana" w:hAnsi="Verdana"/>
          <w:color w:val="2A2A2A"/>
          <w:sz w:val="21"/>
          <w:szCs w:val="21"/>
        </w:rPr>
        <w:br/>
      </w:r>
      <w:r>
        <w:rPr>
          <w:rFonts w:ascii="Verdana" w:hAnsi="Verdana" w:hint="eastAsia"/>
          <w:color w:val="2A2A2A"/>
          <w:sz w:val="21"/>
          <w:szCs w:val="21"/>
        </w:rPr>
        <w:t xml:space="preserve">                           </w:t>
      </w:r>
      <w:r>
        <w:rPr>
          <w:rFonts w:ascii="Verdana" w:hAnsi="Verdana"/>
          <w:color w:val="2A2A2A"/>
          <w:sz w:val="21"/>
          <w:szCs w:val="21"/>
        </w:rPr>
        <w:t>上海市科技兴农项目及资金管理办法</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hint="eastAsia"/>
          <w:color w:val="2A2A2A"/>
          <w:sz w:val="21"/>
          <w:szCs w:val="21"/>
        </w:rPr>
        <w:t xml:space="preserve">                                 </w:t>
      </w:r>
      <w:r>
        <w:rPr>
          <w:rFonts w:ascii="Verdana" w:hAnsi="Verdana"/>
          <w:color w:val="2A2A2A"/>
          <w:sz w:val="21"/>
          <w:szCs w:val="21"/>
        </w:rPr>
        <w:t>第一章　总则</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第一条　为进一步规范并加强上海市科技兴农专项资金管理，提高资金使用效率，根据《关于进一步完善中央财政科研项目资金管理等政策的若干意见》（中办发〔</w:t>
      </w:r>
      <w:r>
        <w:rPr>
          <w:rFonts w:ascii="Verdana" w:hAnsi="Verdana"/>
          <w:color w:val="2A2A2A"/>
          <w:sz w:val="21"/>
          <w:szCs w:val="21"/>
        </w:rPr>
        <w:t>2016</w:t>
      </w:r>
      <w:r>
        <w:rPr>
          <w:rFonts w:ascii="Verdana" w:hAnsi="Verdana"/>
          <w:color w:val="2A2A2A"/>
          <w:sz w:val="21"/>
          <w:szCs w:val="21"/>
        </w:rPr>
        <w:t>〕</w:t>
      </w:r>
      <w:r>
        <w:rPr>
          <w:rFonts w:ascii="Verdana" w:hAnsi="Verdana"/>
          <w:color w:val="2A2A2A"/>
          <w:sz w:val="21"/>
          <w:szCs w:val="21"/>
        </w:rPr>
        <w:t>50</w:t>
      </w:r>
      <w:r>
        <w:rPr>
          <w:rFonts w:ascii="Verdana" w:hAnsi="Verdana"/>
          <w:color w:val="2A2A2A"/>
          <w:sz w:val="21"/>
          <w:szCs w:val="21"/>
        </w:rPr>
        <w:t>号）、《国务院关于优化科研管理提升科研绩效若干措施的通知》（国发〔</w:t>
      </w:r>
      <w:r>
        <w:rPr>
          <w:rFonts w:ascii="Verdana" w:hAnsi="Verdana"/>
          <w:color w:val="2A2A2A"/>
          <w:sz w:val="21"/>
          <w:szCs w:val="21"/>
        </w:rPr>
        <w:t>2018</w:t>
      </w:r>
      <w:r>
        <w:rPr>
          <w:rFonts w:ascii="Verdana" w:hAnsi="Verdana"/>
          <w:color w:val="2A2A2A"/>
          <w:sz w:val="21"/>
          <w:szCs w:val="21"/>
        </w:rPr>
        <w:t>〕</w:t>
      </w:r>
      <w:r>
        <w:rPr>
          <w:rFonts w:ascii="Verdana" w:hAnsi="Verdana"/>
          <w:color w:val="2A2A2A"/>
          <w:sz w:val="21"/>
          <w:szCs w:val="21"/>
        </w:rPr>
        <w:t>25</w:t>
      </w:r>
      <w:r>
        <w:rPr>
          <w:rFonts w:ascii="Verdana" w:hAnsi="Verdana"/>
          <w:color w:val="2A2A2A"/>
          <w:sz w:val="21"/>
          <w:szCs w:val="21"/>
        </w:rPr>
        <w:t>号）、《国务院办公厅关于进一步赋予科研机构和人员更大自主权有关文件贯彻落实工作的通知》（国办发〔</w:t>
      </w:r>
      <w:r>
        <w:rPr>
          <w:rFonts w:ascii="Verdana" w:hAnsi="Verdana"/>
          <w:color w:val="2A2A2A"/>
          <w:sz w:val="21"/>
          <w:szCs w:val="21"/>
        </w:rPr>
        <w:t>2018</w:t>
      </w:r>
      <w:r>
        <w:rPr>
          <w:rFonts w:ascii="Verdana" w:hAnsi="Verdana"/>
          <w:color w:val="2A2A2A"/>
          <w:sz w:val="21"/>
          <w:szCs w:val="21"/>
        </w:rPr>
        <w:t>〕</w:t>
      </w:r>
      <w:r>
        <w:rPr>
          <w:rFonts w:ascii="Verdana" w:hAnsi="Verdana"/>
          <w:color w:val="2A2A2A"/>
          <w:sz w:val="21"/>
          <w:szCs w:val="21"/>
        </w:rPr>
        <w:t>127</w:t>
      </w:r>
      <w:r>
        <w:rPr>
          <w:rFonts w:ascii="Verdana" w:hAnsi="Verdana"/>
          <w:color w:val="2A2A2A"/>
          <w:sz w:val="21"/>
          <w:szCs w:val="21"/>
        </w:rPr>
        <w:t>号）、《关于进一步深化科技体制机制改革增强科技创新中心策源能力的意见》（沪委办发〔</w:t>
      </w:r>
      <w:r>
        <w:rPr>
          <w:rFonts w:ascii="Verdana" w:hAnsi="Verdana"/>
          <w:color w:val="2A2A2A"/>
          <w:sz w:val="21"/>
          <w:szCs w:val="21"/>
        </w:rPr>
        <w:t>2019</w:t>
      </w:r>
      <w:r>
        <w:rPr>
          <w:rFonts w:ascii="Verdana" w:hAnsi="Verdana"/>
          <w:color w:val="2A2A2A"/>
          <w:sz w:val="21"/>
          <w:szCs w:val="21"/>
        </w:rPr>
        <w:t>〕</w:t>
      </w:r>
      <w:r>
        <w:rPr>
          <w:rFonts w:ascii="Verdana" w:hAnsi="Verdana"/>
          <w:color w:val="2A2A2A"/>
          <w:sz w:val="21"/>
          <w:szCs w:val="21"/>
        </w:rPr>
        <w:t>78</w:t>
      </w:r>
      <w:r>
        <w:rPr>
          <w:rFonts w:ascii="Verdana" w:hAnsi="Verdana"/>
          <w:color w:val="2A2A2A"/>
          <w:sz w:val="21"/>
          <w:szCs w:val="21"/>
        </w:rPr>
        <w:t>号）精神，依据国家和本市有关科技项目及资金管理规定及相关财务制度，结合本市农业科技发展实际情况，修订本管理办法。</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第二条　上海市科技兴农专项资金是指市级财政在上海市农业农村委员会（以下简称市农业农村委）部门预算中安排的用于支持农业科技创新与推广的资金，利用科技兴农专项资金设立科技兴农项目，主要支持在本市注册登记的法人或其他组织开展农业科学研究及技术开发、技术推广、成果转化等科技活动。</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lastRenderedPageBreak/>
        <w:t xml:space="preserve">　　第三条　科技兴农项目安排和资金使用原则</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（一）聚焦重点、科学安排。科技兴农项目聚焦上海都市现代绿色农业发展战略，坚持前瞻性和实效性相结合、顶层设计和需求导向相结合，突出科技与产业的融合发展。</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（二）合理配置，择优资助。发挥市场配置技术创新资源的决定性作用，坚持公开、公平、公正的原则，实行专家评审、择优支持的项目遴选机制。</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（三）规范管理，注重绩效。完善科技兴农项目信息化管理机制，强化事中事后监管，加强信息公开公示制度。建立结果导向的绩效评价机制，提高资金使用效益。</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第四条　市科技兴农项目分为技术创新、技术推广、现代农业产业技术体系等项目类别。</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技术创新项目（含重点攻关）</w:t>
      </w:r>
      <w:r>
        <w:rPr>
          <w:rFonts w:ascii="Verdana" w:hAnsi="Verdana"/>
          <w:color w:val="2A2A2A"/>
          <w:sz w:val="21"/>
          <w:szCs w:val="21"/>
        </w:rPr>
        <w:t>:</w:t>
      </w:r>
      <w:r>
        <w:rPr>
          <w:rFonts w:ascii="Verdana" w:hAnsi="Verdana"/>
          <w:color w:val="2A2A2A"/>
          <w:sz w:val="21"/>
          <w:szCs w:val="21"/>
        </w:rPr>
        <w:t>支持农业共性关键技术研发，解决制约都市现代绿色农业发展的技术瓶颈；支持农业前沿技术攻关，培育具有重大应用价值和自主知识产权的新品种、新技术、新装备，引领都市现代绿色农业可持续发展。</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技术推广项目</w:t>
      </w:r>
      <w:r>
        <w:rPr>
          <w:rFonts w:ascii="Verdana" w:hAnsi="Verdana"/>
          <w:color w:val="2A2A2A"/>
          <w:sz w:val="21"/>
          <w:szCs w:val="21"/>
        </w:rPr>
        <w:t>:</w:t>
      </w:r>
      <w:r>
        <w:rPr>
          <w:rFonts w:ascii="Verdana" w:hAnsi="Verdana"/>
          <w:color w:val="2A2A2A"/>
          <w:sz w:val="21"/>
          <w:szCs w:val="21"/>
        </w:rPr>
        <w:t>支持在本市试验、示范及集成应用具有先进性、实用性、综合性的农业新品种、新技术、新装备等。</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现代农业产业技术体系项目</w:t>
      </w:r>
      <w:r>
        <w:rPr>
          <w:rFonts w:ascii="Verdana" w:hAnsi="Verdana"/>
          <w:color w:val="2A2A2A"/>
          <w:sz w:val="21"/>
          <w:szCs w:val="21"/>
        </w:rPr>
        <w:t>:</w:t>
      </w:r>
      <w:r>
        <w:rPr>
          <w:rFonts w:ascii="Verdana" w:hAnsi="Verdana"/>
          <w:color w:val="2A2A2A"/>
          <w:sz w:val="21"/>
          <w:szCs w:val="21"/>
        </w:rPr>
        <w:t>支持以本市优势产业需求为导向、以农产品为单元、产业链为主线，集聚产学研、农科教等创新资源，开展相关技术研究、试验示范和成果转化开发，促进优势产业发展。</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第二章　管理机构与职责</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第五条　市农业农村委主要负责科技兴农项目中期财政规划和年度预算编制，项目指南编制、项目评审、绩效目标制定、绩效跟踪和评价、项目计划审批、项目实施监管、项目验收、信息公开等工作。</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上海市财政局（以下简称市财政局）主要负责科技兴农项目中期财政规划和年度预算审核、财政资金拨付、资金使用管理的跟踪检查和绩效管理，以及配合市农业农村委下达年度项目计划等工作。</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第六条　上海市农业科技服务中心（以下简称市农业科技服务中心）具体负责科技兴农项目的过程管理，包括项目申报受理、组织评审、合同签订、合同变更审核、动态管理、组织验收等工作。</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第三章　项目管理</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第七条　项目立项管理</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指南发布。市农业农村委围绕本市都市现代绿色农业发展战略和农业科技发展方向，组织开展科技需求调研，突出目标导向、需求导向和问题导向，编制项目申报指南，并向社会</w:t>
      </w:r>
      <w:r>
        <w:rPr>
          <w:rFonts w:ascii="Verdana" w:hAnsi="Verdana"/>
          <w:color w:val="2A2A2A"/>
          <w:sz w:val="21"/>
          <w:szCs w:val="21"/>
        </w:rPr>
        <w:lastRenderedPageBreak/>
        <w:t>公开发布。</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项目申报。申报单位根据申报指南要求编制项目申报书，经主管单位初审后，报送市农业科技服务中心。市农业科技服务中心对项目申报书进行形式审查，符合条件的项目申报纳入评审范围。</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项目评审。市农业科技服务中心组织专家对申报项目开展评审，包括技术评审和预算评审，评审通过的项目纳入项目库管理，并按轻重缓急排序，作为申请预算依据。</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项目下达。年度预算批复后，市农业农村委将拟立项计划向社会公示，经公示无异议后，市农业农村委会同市财政局下达科技兴农项目年度计划。</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第八条　项目日常管理</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合同签订。项目计划下达后，市农业科技服务中心与项目承担单位签订项目合同，明确项目实施期间各方权利、责任、义务，以及实施内容、计划进度、考核指标等。项目承担单位可根据需要设置子项目，但最多包括</w:t>
      </w:r>
      <w:r>
        <w:rPr>
          <w:rFonts w:ascii="Verdana" w:hAnsi="Verdana"/>
          <w:color w:val="2A2A2A"/>
          <w:sz w:val="21"/>
          <w:szCs w:val="21"/>
        </w:rPr>
        <w:t>“</w:t>
      </w:r>
      <w:r>
        <w:rPr>
          <w:rFonts w:ascii="Verdana" w:hAnsi="Verdana"/>
          <w:color w:val="2A2A2A"/>
          <w:sz w:val="21"/>
          <w:szCs w:val="21"/>
        </w:rPr>
        <w:t>项目</w:t>
      </w:r>
      <w:r>
        <w:rPr>
          <w:rFonts w:ascii="Verdana" w:hAnsi="Verdana"/>
          <w:color w:val="2A2A2A"/>
          <w:sz w:val="21"/>
          <w:szCs w:val="21"/>
        </w:rPr>
        <w:t>-</w:t>
      </w:r>
      <w:r>
        <w:rPr>
          <w:rFonts w:ascii="Verdana" w:hAnsi="Verdana"/>
          <w:color w:val="2A2A2A"/>
          <w:sz w:val="21"/>
          <w:szCs w:val="21"/>
        </w:rPr>
        <w:t>子项目</w:t>
      </w:r>
      <w:r>
        <w:rPr>
          <w:rFonts w:ascii="Verdana" w:hAnsi="Verdana"/>
          <w:color w:val="2A2A2A"/>
          <w:sz w:val="21"/>
          <w:szCs w:val="21"/>
        </w:rPr>
        <w:t>”</w:t>
      </w:r>
      <w:r>
        <w:rPr>
          <w:rFonts w:ascii="Verdana" w:hAnsi="Verdana"/>
          <w:color w:val="2A2A2A"/>
          <w:sz w:val="21"/>
          <w:szCs w:val="21"/>
        </w:rPr>
        <w:t>两级。子项目承担单位为项目的协作单位，项目承担单位应与协作单位签订二级合同，明确实施内容、资金预算和考核指标等。</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动态管理。项目承担单位应通过科技兴农项目管理系统按时提交项目资金使用、实施进展等情况，并于每年</w:t>
      </w:r>
      <w:r>
        <w:rPr>
          <w:rFonts w:ascii="Verdana" w:hAnsi="Verdana"/>
          <w:color w:val="2A2A2A"/>
          <w:sz w:val="21"/>
          <w:szCs w:val="21"/>
        </w:rPr>
        <w:t>11</w:t>
      </w:r>
      <w:r>
        <w:rPr>
          <w:rFonts w:ascii="Verdana" w:hAnsi="Verdana"/>
          <w:color w:val="2A2A2A"/>
          <w:sz w:val="21"/>
          <w:szCs w:val="21"/>
        </w:rPr>
        <w:t>月</w:t>
      </w:r>
      <w:r>
        <w:rPr>
          <w:rFonts w:ascii="Verdana" w:hAnsi="Verdana"/>
          <w:color w:val="2A2A2A"/>
          <w:sz w:val="21"/>
          <w:szCs w:val="21"/>
        </w:rPr>
        <w:t>30</w:t>
      </w:r>
      <w:r>
        <w:rPr>
          <w:rFonts w:ascii="Verdana" w:hAnsi="Verdana"/>
          <w:color w:val="2A2A2A"/>
          <w:sz w:val="21"/>
          <w:szCs w:val="21"/>
        </w:rPr>
        <w:t>日前提交项目年度工作总结。</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根据项目计划进度，市农业科技服务中心组织项目主管单位（部门）、专家等对项目执行及资金使用管理情况开展项目跟踪，发现项目组织实施不力、资金使用管理违规等情况，限期整改，整改不到位或整改后预期仍无法按期完成的项目，按规定办理项目终止手续。项目实施过程中避免重复检查、多头检查。</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合同变更。项目合同变更是指项目主持人、考核指标、完成期限等不涉及资金调整的内容发生变化。项目承担单位应对已完成工作进行总结，提出变更申请报市农业科技服务中心，经组织论证并批复后再行实施。</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项目验收。项目完成后，项目承担单位应及时向市农业科技服务中心提出项目验收申请。项目验收采用专家评议方式，考核项目任务完成情况和项目资金管理使用情况，由具有资质的第三方中介机构对项目资金进行财务审计，利用好单位内外部审计结果。项目通过验收后，市农业农村委向项目承担单位出具成果验收证书。项目成果应按科技成果登记办法进行成果登记。</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第四章　资金管理</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第九条　资金支持方式</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科技兴农专项资金主要采取前补助或后补助的支持方式。前补助是指项目立项后核定预算，按照项目合同书确定的用款计划及任务完成情况核拨资金的财政支持方式。后补助主要是事前立项、事后补助，是指项目立项后，由单位先行投入资金并组织开展研究开发和成果</w:t>
      </w:r>
      <w:r>
        <w:rPr>
          <w:rFonts w:ascii="Verdana" w:hAnsi="Verdana"/>
          <w:color w:val="2A2A2A"/>
          <w:sz w:val="21"/>
          <w:szCs w:val="21"/>
        </w:rPr>
        <w:lastRenderedPageBreak/>
        <w:t>转化，在项目完成并取得相应成果，按规定程序通过审核验收、评估评审后，给予相应补助的财政支持方式。</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对于公益性、长期性研究，以及重大共性关键技术研究、开发、集成、示范等科技活动，一般采取前补助方式支持。对于具有明确的、可考核的产品目标和产业化目标的项目，积极探索后补助方式。科技兴农项目的具体支持方式和要求应当在项目申报指南中明确。</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第十条　资金开支范围</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市科技兴农项目资金预算由直接费用和间接费用组成。</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（一）直接费用。是指在项目实施过程中发生的与之直接相关的费用，主要包括</w:t>
      </w:r>
      <w:r>
        <w:rPr>
          <w:rFonts w:ascii="Verdana" w:hAnsi="Verdana"/>
          <w:color w:val="2A2A2A"/>
          <w:sz w:val="21"/>
          <w:szCs w:val="21"/>
        </w:rPr>
        <w:t>:</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1.</w:t>
      </w:r>
      <w:r>
        <w:rPr>
          <w:rFonts w:ascii="Verdana" w:hAnsi="Verdana"/>
          <w:color w:val="2A2A2A"/>
          <w:sz w:val="21"/>
          <w:szCs w:val="21"/>
        </w:rPr>
        <w:t>材料费</w:t>
      </w:r>
      <w:r>
        <w:rPr>
          <w:rFonts w:ascii="Verdana" w:hAnsi="Verdana"/>
          <w:color w:val="2A2A2A"/>
          <w:sz w:val="21"/>
          <w:szCs w:val="21"/>
        </w:rPr>
        <w:t>:</w:t>
      </w:r>
      <w:r>
        <w:rPr>
          <w:rFonts w:ascii="Verdana" w:hAnsi="Verdana"/>
          <w:color w:val="2A2A2A"/>
          <w:sz w:val="21"/>
          <w:szCs w:val="21"/>
        </w:rPr>
        <w:t>主要用于项目实施过程中需要消耗的各种原材料、辅助材料、试剂、低值易耗品、实验动植物等采购、整理、运输等费用。</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2.</w:t>
      </w:r>
      <w:r>
        <w:rPr>
          <w:rFonts w:ascii="Verdana" w:hAnsi="Verdana"/>
          <w:color w:val="2A2A2A"/>
          <w:sz w:val="21"/>
          <w:szCs w:val="21"/>
        </w:rPr>
        <w:t>设备费</w:t>
      </w:r>
      <w:r>
        <w:rPr>
          <w:rFonts w:ascii="Verdana" w:hAnsi="Verdana"/>
          <w:color w:val="2A2A2A"/>
          <w:sz w:val="21"/>
          <w:szCs w:val="21"/>
        </w:rPr>
        <w:t>:</w:t>
      </w:r>
      <w:r>
        <w:rPr>
          <w:rFonts w:ascii="Verdana" w:hAnsi="Verdana"/>
          <w:color w:val="2A2A2A"/>
          <w:sz w:val="21"/>
          <w:szCs w:val="21"/>
        </w:rPr>
        <w:t>主要用于购买与项目相关的实验仪器、专用设施设备等费用，以及租赁外单位仪器、设施、设备而发生的费用。项目承担单位可依据国家和本市相关规定，对科研急需设备、独家代理或生产设备、进口设备等简化采购流程。</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设备费支出控制在项目财政资金总预算的</w:t>
      </w:r>
      <w:r>
        <w:rPr>
          <w:rFonts w:ascii="Verdana" w:hAnsi="Verdana"/>
          <w:color w:val="2A2A2A"/>
          <w:sz w:val="21"/>
          <w:szCs w:val="21"/>
        </w:rPr>
        <w:t>20%</w:t>
      </w:r>
      <w:r>
        <w:rPr>
          <w:rFonts w:ascii="Verdana" w:hAnsi="Verdana"/>
          <w:color w:val="2A2A2A"/>
          <w:sz w:val="21"/>
          <w:szCs w:val="21"/>
        </w:rPr>
        <w:t>以内。涉及信息技术开发应用的项目，设备费根据需要可适当放宽，但支出应控制在项目财政资金总预算的</w:t>
      </w:r>
      <w:r>
        <w:rPr>
          <w:rFonts w:ascii="Verdana" w:hAnsi="Verdana"/>
          <w:color w:val="2A2A2A"/>
          <w:sz w:val="21"/>
          <w:szCs w:val="21"/>
        </w:rPr>
        <w:t>50%</w:t>
      </w:r>
      <w:r>
        <w:rPr>
          <w:rFonts w:ascii="Verdana" w:hAnsi="Verdana"/>
          <w:color w:val="2A2A2A"/>
          <w:sz w:val="21"/>
          <w:szCs w:val="21"/>
        </w:rPr>
        <w:t>以内。</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3.</w:t>
      </w:r>
      <w:r>
        <w:rPr>
          <w:rFonts w:ascii="Verdana" w:hAnsi="Verdana"/>
          <w:color w:val="2A2A2A"/>
          <w:sz w:val="21"/>
          <w:szCs w:val="21"/>
        </w:rPr>
        <w:t>检测加工费</w:t>
      </w:r>
      <w:r>
        <w:rPr>
          <w:rFonts w:ascii="Verdana" w:hAnsi="Verdana"/>
          <w:color w:val="2A2A2A"/>
          <w:sz w:val="21"/>
          <w:szCs w:val="21"/>
        </w:rPr>
        <w:t>:</w:t>
      </w:r>
      <w:r>
        <w:rPr>
          <w:rFonts w:ascii="Verdana" w:hAnsi="Verdana"/>
          <w:color w:val="2A2A2A"/>
          <w:sz w:val="21"/>
          <w:szCs w:val="21"/>
        </w:rPr>
        <w:t>主要用于委托外单位（包括项目承担单位内部独立经济核算单位）开展与项目相关的检验、测试、设计、化验、加工、软件测试测评、软硬件网络系统集成等费用。信息技术开发应用项目可包含信息安全保障，数据服务、托管服务等费用。</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4.</w:t>
      </w:r>
      <w:r>
        <w:rPr>
          <w:rFonts w:ascii="Verdana" w:hAnsi="Verdana"/>
          <w:color w:val="2A2A2A"/>
          <w:sz w:val="21"/>
          <w:szCs w:val="21"/>
        </w:rPr>
        <w:t>差旅</w:t>
      </w:r>
      <w:r>
        <w:rPr>
          <w:rFonts w:ascii="Verdana" w:hAnsi="Verdana"/>
          <w:color w:val="2A2A2A"/>
          <w:sz w:val="21"/>
          <w:szCs w:val="21"/>
        </w:rPr>
        <w:t>/</w:t>
      </w:r>
      <w:r>
        <w:rPr>
          <w:rFonts w:ascii="Verdana" w:hAnsi="Verdana"/>
          <w:color w:val="2A2A2A"/>
          <w:sz w:val="21"/>
          <w:szCs w:val="21"/>
        </w:rPr>
        <w:t>会议</w:t>
      </w:r>
      <w:r>
        <w:rPr>
          <w:rFonts w:ascii="Verdana" w:hAnsi="Verdana"/>
          <w:color w:val="2A2A2A"/>
          <w:sz w:val="21"/>
          <w:szCs w:val="21"/>
        </w:rPr>
        <w:t>/</w:t>
      </w:r>
      <w:r>
        <w:rPr>
          <w:rFonts w:ascii="Verdana" w:hAnsi="Verdana"/>
          <w:color w:val="2A2A2A"/>
          <w:sz w:val="21"/>
          <w:szCs w:val="21"/>
        </w:rPr>
        <w:t>国际合作与交流费</w:t>
      </w:r>
      <w:r>
        <w:rPr>
          <w:rFonts w:ascii="Verdana" w:hAnsi="Verdana"/>
          <w:color w:val="2A2A2A"/>
          <w:sz w:val="21"/>
          <w:szCs w:val="21"/>
        </w:rPr>
        <w:t>:</w:t>
      </w:r>
      <w:r>
        <w:rPr>
          <w:rFonts w:ascii="Verdana" w:hAnsi="Verdana"/>
          <w:color w:val="2A2A2A"/>
          <w:sz w:val="21"/>
          <w:szCs w:val="21"/>
        </w:rPr>
        <w:t>是指在项目实施过程中发生的与项目相关的差旅费、会议费和国际合作与交流费，支出控制在直接费用预算的</w:t>
      </w:r>
      <w:r>
        <w:rPr>
          <w:rFonts w:ascii="Verdana" w:hAnsi="Verdana"/>
          <w:color w:val="2A2A2A"/>
          <w:sz w:val="21"/>
          <w:szCs w:val="21"/>
        </w:rPr>
        <w:t>15%</w:t>
      </w:r>
      <w:r>
        <w:rPr>
          <w:rFonts w:ascii="Verdana" w:hAnsi="Verdana"/>
          <w:color w:val="2A2A2A"/>
          <w:sz w:val="21"/>
          <w:szCs w:val="21"/>
        </w:rPr>
        <w:t>以内。项目实施单位应当按照实事求是、精简高效、厉行节约的原则，统筹安排使用。其中</w:t>
      </w:r>
      <w:r>
        <w:rPr>
          <w:rFonts w:ascii="Verdana" w:hAnsi="Verdana"/>
          <w:color w:val="2A2A2A"/>
          <w:sz w:val="21"/>
          <w:szCs w:val="21"/>
        </w:rPr>
        <w:t>:</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差旅费</w:t>
      </w:r>
      <w:r>
        <w:rPr>
          <w:rFonts w:ascii="Verdana" w:hAnsi="Verdana"/>
          <w:color w:val="2A2A2A"/>
          <w:sz w:val="21"/>
          <w:szCs w:val="21"/>
        </w:rPr>
        <w:t>:</w:t>
      </w:r>
      <w:r>
        <w:rPr>
          <w:rFonts w:ascii="Verdana" w:hAnsi="Verdana"/>
          <w:color w:val="2A2A2A"/>
          <w:sz w:val="21"/>
          <w:szCs w:val="21"/>
        </w:rPr>
        <w:t>主要是指项目实施人员在项目实施过程中，进行科学实验（试验）、示范、技术培训指导、调研考察，参加学术交流会议等发生的外埠（国内）差旅费用、以及市内交通费用，开支标准应当按照国家和本市有关规定执行。</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会议费</w:t>
      </w:r>
      <w:r>
        <w:rPr>
          <w:rFonts w:ascii="Verdana" w:hAnsi="Verdana"/>
          <w:color w:val="2A2A2A"/>
          <w:sz w:val="21"/>
          <w:szCs w:val="21"/>
        </w:rPr>
        <w:t>:</w:t>
      </w:r>
      <w:r>
        <w:rPr>
          <w:rFonts w:ascii="Verdana" w:hAnsi="Verdana"/>
          <w:color w:val="2A2A2A"/>
          <w:sz w:val="21"/>
          <w:szCs w:val="21"/>
        </w:rPr>
        <w:t>主要用于项目实施过程中开展学术研讨、技术培训、专家咨询、协调项目及其他相关会议而发生的会议费用，开支标准应当按照国家和本市有关规定执行。</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国际合作与交流费</w:t>
      </w:r>
      <w:r>
        <w:rPr>
          <w:rFonts w:ascii="Verdana" w:hAnsi="Verdana"/>
          <w:color w:val="2A2A2A"/>
          <w:sz w:val="21"/>
          <w:szCs w:val="21"/>
        </w:rPr>
        <w:t>:</w:t>
      </w:r>
      <w:r>
        <w:rPr>
          <w:rFonts w:ascii="Verdana" w:hAnsi="Verdana"/>
          <w:color w:val="2A2A2A"/>
          <w:sz w:val="21"/>
          <w:szCs w:val="21"/>
        </w:rPr>
        <w:t>是指在项目实施过程</w:t>
      </w:r>
      <w:proofErr w:type="gramStart"/>
      <w:r>
        <w:rPr>
          <w:rFonts w:ascii="Verdana" w:hAnsi="Verdana"/>
          <w:color w:val="2A2A2A"/>
          <w:sz w:val="21"/>
          <w:szCs w:val="21"/>
        </w:rPr>
        <w:t>中项目</w:t>
      </w:r>
      <w:proofErr w:type="gramEnd"/>
      <w:r>
        <w:rPr>
          <w:rFonts w:ascii="Verdana" w:hAnsi="Verdana"/>
          <w:color w:val="2A2A2A"/>
          <w:sz w:val="21"/>
          <w:szCs w:val="21"/>
        </w:rPr>
        <w:t>研究人员参加国外（境外）学术会议及外国专家来华工作的差旅等费用，开支标准应当按照国家和本市有关规定执行。高校、科研院所为完成科研任务列支的国际合作与交流费用，不纳入</w:t>
      </w:r>
      <w:r>
        <w:rPr>
          <w:rFonts w:ascii="Verdana" w:hAnsi="Verdana"/>
          <w:color w:val="2A2A2A"/>
          <w:sz w:val="21"/>
          <w:szCs w:val="21"/>
        </w:rPr>
        <w:t>“</w:t>
      </w:r>
      <w:r>
        <w:rPr>
          <w:rFonts w:ascii="Verdana" w:hAnsi="Verdana"/>
          <w:color w:val="2A2A2A"/>
          <w:sz w:val="21"/>
          <w:szCs w:val="21"/>
        </w:rPr>
        <w:t>三公</w:t>
      </w:r>
      <w:r>
        <w:rPr>
          <w:rFonts w:ascii="Verdana" w:hAnsi="Verdana"/>
          <w:color w:val="2A2A2A"/>
          <w:sz w:val="21"/>
          <w:szCs w:val="21"/>
        </w:rPr>
        <w:t>”</w:t>
      </w:r>
      <w:r>
        <w:rPr>
          <w:rFonts w:ascii="Verdana" w:hAnsi="Verdana"/>
          <w:color w:val="2A2A2A"/>
          <w:sz w:val="21"/>
          <w:szCs w:val="21"/>
        </w:rPr>
        <w:t>经费支出统计范围。</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5.</w:t>
      </w:r>
      <w:r>
        <w:rPr>
          <w:rFonts w:ascii="Verdana" w:hAnsi="Verdana"/>
          <w:color w:val="2A2A2A"/>
          <w:sz w:val="21"/>
          <w:szCs w:val="21"/>
        </w:rPr>
        <w:t>出版</w:t>
      </w:r>
      <w:r>
        <w:rPr>
          <w:rFonts w:ascii="Verdana" w:hAnsi="Verdana"/>
          <w:color w:val="2A2A2A"/>
          <w:sz w:val="21"/>
          <w:szCs w:val="21"/>
        </w:rPr>
        <w:t>/</w:t>
      </w:r>
      <w:r>
        <w:rPr>
          <w:rFonts w:ascii="Verdana" w:hAnsi="Verdana"/>
          <w:color w:val="2A2A2A"/>
          <w:sz w:val="21"/>
          <w:szCs w:val="21"/>
        </w:rPr>
        <w:t>文献</w:t>
      </w:r>
      <w:r>
        <w:rPr>
          <w:rFonts w:ascii="Verdana" w:hAnsi="Verdana"/>
          <w:color w:val="2A2A2A"/>
          <w:sz w:val="21"/>
          <w:szCs w:val="21"/>
        </w:rPr>
        <w:t>/</w:t>
      </w:r>
      <w:r>
        <w:rPr>
          <w:rFonts w:ascii="Verdana" w:hAnsi="Verdana"/>
          <w:color w:val="2A2A2A"/>
          <w:sz w:val="21"/>
          <w:szCs w:val="21"/>
        </w:rPr>
        <w:t>知识产权事务费</w:t>
      </w:r>
      <w:r>
        <w:rPr>
          <w:rFonts w:ascii="Verdana" w:hAnsi="Verdana"/>
          <w:color w:val="2A2A2A"/>
          <w:sz w:val="21"/>
          <w:szCs w:val="21"/>
        </w:rPr>
        <w:t>:</w:t>
      </w:r>
      <w:r>
        <w:rPr>
          <w:rFonts w:ascii="Verdana" w:hAnsi="Verdana"/>
          <w:color w:val="2A2A2A"/>
          <w:sz w:val="21"/>
          <w:szCs w:val="21"/>
        </w:rPr>
        <w:t>主要用于项目相关的资料费、专业软件购买费、论文出版、文献检索、知识产权申请等费用。</w:t>
      </w:r>
      <w:r>
        <w:rPr>
          <w:rFonts w:ascii="Verdana" w:hAnsi="Verdana"/>
          <w:color w:val="2A2A2A"/>
          <w:sz w:val="21"/>
          <w:szCs w:val="21"/>
        </w:rPr>
        <w:br/>
      </w:r>
      <w:r>
        <w:rPr>
          <w:rFonts w:ascii="Verdana" w:hAnsi="Verdana"/>
          <w:color w:val="2A2A2A"/>
          <w:sz w:val="21"/>
          <w:szCs w:val="21"/>
        </w:rPr>
        <w:lastRenderedPageBreak/>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6.</w:t>
      </w:r>
      <w:r>
        <w:rPr>
          <w:rFonts w:ascii="Verdana" w:hAnsi="Verdana"/>
          <w:color w:val="2A2A2A"/>
          <w:sz w:val="21"/>
          <w:szCs w:val="21"/>
        </w:rPr>
        <w:t>劳务费</w:t>
      </w:r>
      <w:r>
        <w:rPr>
          <w:rFonts w:ascii="Verdana" w:hAnsi="Verdana"/>
          <w:color w:val="2A2A2A"/>
          <w:sz w:val="21"/>
          <w:szCs w:val="21"/>
        </w:rPr>
        <w:t>:</w:t>
      </w:r>
      <w:r>
        <w:rPr>
          <w:rFonts w:ascii="Verdana" w:hAnsi="Verdana"/>
          <w:color w:val="2A2A2A"/>
          <w:sz w:val="21"/>
          <w:szCs w:val="21"/>
        </w:rPr>
        <w:t>是指在项目实施过程中支付给项目组成员、临时聘用人员的劳务性费用，以及专家咨询等费用。劳务费支出控制在项目财政资金总预算的</w:t>
      </w:r>
      <w:r>
        <w:rPr>
          <w:rFonts w:ascii="Verdana" w:hAnsi="Verdana"/>
          <w:color w:val="2A2A2A"/>
          <w:sz w:val="21"/>
          <w:szCs w:val="21"/>
        </w:rPr>
        <w:t>30%</w:t>
      </w:r>
      <w:r>
        <w:rPr>
          <w:rFonts w:ascii="Verdana" w:hAnsi="Verdana"/>
          <w:color w:val="2A2A2A"/>
          <w:sz w:val="21"/>
          <w:szCs w:val="21"/>
        </w:rPr>
        <w:t>以内，对于软件开发项目，劳务费支出控制在项目财政资金预算的</w:t>
      </w:r>
      <w:r>
        <w:rPr>
          <w:rFonts w:ascii="Verdana" w:hAnsi="Verdana"/>
          <w:color w:val="2A2A2A"/>
          <w:sz w:val="21"/>
          <w:szCs w:val="21"/>
        </w:rPr>
        <w:t>50%</w:t>
      </w:r>
      <w:r>
        <w:rPr>
          <w:rFonts w:ascii="Verdana" w:hAnsi="Verdana"/>
          <w:color w:val="2A2A2A"/>
          <w:sz w:val="21"/>
          <w:szCs w:val="21"/>
        </w:rPr>
        <w:t>以内。其中项目组成员劳务费控制在劳务费总预算的</w:t>
      </w:r>
      <w:r>
        <w:rPr>
          <w:rFonts w:ascii="Verdana" w:hAnsi="Verdana"/>
          <w:color w:val="2A2A2A"/>
          <w:sz w:val="21"/>
          <w:szCs w:val="21"/>
        </w:rPr>
        <w:t>50%</w:t>
      </w:r>
      <w:r>
        <w:rPr>
          <w:rFonts w:ascii="Verdana" w:hAnsi="Verdana"/>
          <w:color w:val="2A2A2A"/>
          <w:sz w:val="21"/>
          <w:szCs w:val="21"/>
        </w:rPr>
        <w:t>以内。内控管理制度健全的项目承担单位，可自主确定科研项目的劳务费发放标准。通过公开竞标获得的项目，劳务费不计入事业单位核定的绩效工资总量。</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7.</w:t>
      </w:r>
      <w:r>
        <w:rPr>
          <w:rFonts w:ascii="Verdana" w:hAnsi="Verdana"/>
          <w:color w:val="2A2A2A"/>
          <w:sz w:val="21"/>
          <w:szCs w:val="21"/>
        </w:rPr>
        <w:t>燃料动力费</w:t>
      </w:r>
      <w:r>
        <w:rPr>
          <w:rFonts w:ascii="Verdana" w:hAnsi="Verdana"/>
          <w:color w:val="2A2A2A"/>
          <w:sz w:val="21"/>
          <w:szCs w:val="21"/>
        </w:rPr>
        <w:t>:</w:t>
      </w:r>
      <w:r>
        <w:rPr>
          <w:rFonts w:ascii="Verdana" w:hAnsi="Verdana"/>
          <w:color w:val="2A2A2A"/>
          <w:sz w:val="21"/>
          <w:szCs w:val="21"/>
        </w:rPr>
        <w:t>主要用于项目实施过程中直</w:t>
      </w:r>
      <w:proofErr w:type="gramStart"/>
      <w:r>
        <w:rPr>
          <w:rFonts w:ascii="Verdana" w:hAnsi="Verdana"/>
          <w:color w:val="2A2A2A"/>
          <w:sz w:val="21"/>
          <w:szCs w:val="21"/>
        </w:rPr>
        <w:t>接使用</w:t>
      </w:r>
      <w:proofErr w:type="gramEnd"/>
      <w:r>
        <w:rPr>
          <w:rFonts w:ascii="Verdana" w:hAnsi="Verdana"/>
          <w:color w:val="2A2A2A"/>
          <w:sz w:val="21"/>
          <w:szCs w:val="21"/>
        </w:rPr>
        <w:t>的相关仪器设备、科学装置等运行发生的水、电、气、燃料和排污等费用。</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（二）间接费用。主要是指项目实施过程中发生的无法在直接费用中列支的相关费用。主要包括</w:t>
      </w:r>
      <w:r>
        <w:rPr>
          <w:rFonts w:ascii="Verdana" w:hAnsi="Verdana"/>
          <w:color w:val="2A2A2A"/>
          <w:sz w:val="21"/>
          <w:szCs w:val="21"/>
        </w:rPr>
        <w:t>:</w:t>
      </w:r>
      <w:r>
        <w:rPr>
          <w:rFonts w:ascii="Verdana" w:hAnsi="Verdana"/>
          <w:color w:val="2A2A2A"/>
          <w:sz w:val="21"/>
          <w:szCs w:val="21"/>
        </w:rPr>
        <w:t>为项目研究提供的现有仪器设备及房屋、水、电、气、暖消耗费以及绩效支出等。间接费用总额支出控制在项目直接费用的</w:t>
      </w:r>
      <w:r>
        <w:rPr>
          <w:rFonts w:ascii="Verdana" w:hAnsi="Verdana"/>
          <w:color w:val="2A2A2A"/>
          <w:sz w:val="21"/>
          <w:szCs w:val="21"/>
        </w:rPr>
        <w:t>8%</w:t>
      </w:r>
      <w:r>
        <w:rPr>
          <w:rFonts w:ascii="Verdana" w:hAnsi="Verdana"/>
          <w:color w:val="2A2A2A"/>
          <w:sz w:val="21"/>
          <w:szCs w:val="21"/>
        </w:rPr>
        <w:t>以内。间接费用应纳入承担单位财务统一管理，统筹安排使用，通过公开竞标获得的项目，绩效支出不计</w:t>
      </w:r>
      <w:proofErr w:type="gramStart"/>
      <w:r>
        <w:rPr>
          <w:rFonts w:ascii="Verdana" w:hAnsi="Verdana"/>
          <w:color w:val="2A2A2A"/>
          <w:sz w:val="21"/>
          <w:szCs w:val="21"/>
        </w:rPr>
        <w:t>入项目</w:t>
      </w:r>
      <w:proofErr w:type="gramEnd"/>
      <w:r>
        <w:rPr>
          <w:rFonts w:ascii="Verdana" w:hAnsi="Verdana"/>
          <w:color w:val="2A2A2A"/>
          <w:sz w:val="21"/>
          <w:szCs w:val="21"/>
        </w:rPr>
        <w:t>承担单位的绩效工资总量。项目承担单位应当健全间接费用的内部管理办法，公开透明、合理合</w:t>
      </w:r>
      <w:proofErr w:type="gramStart"/>
      <w:r>
        <w:rPr>
          <w:rFonts w:ascii="Verdana" w:hAnsi="Verdana"/>
          <w:color w:val="2A2A2A"/>
          <w:sz w:val="21"/>
          <w:szCs w:val="21"/>
        </w:rPr>
        <w:t>规</w:t>
      </w:r>
      <w:proofErr w:type="gramEnd"/>
      <w:r>
        <w:rPr>
          <w:rFonts w:ascii="Verdana" w:hAnsi="Verdana"/>
          <w:color w:val="2A2A2A"/>
          <w:sz w:val="21"/>
          <w:szCs w:val="21"/>
        </w:rPr>
        <w:t>使用间接费用。</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第十一条　市农业农村委根据部门预算编制有关要求，每年第三季度编制下一年度科技兴农专项资金预算，按照规定程序报送市财政局。经市财政局审核，纳入年度预算。</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对实施周期在一年以上的科技兴农项目，建立跨年度预算平衡机制。按照一次核定总量、分年安排预算的原则，安排科技兴农专项资金。</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第十二条　市农业农村委根据合同书确定的拨款计划及项目进展情况向市财政局申请拨款，市财政局按照国库集中支付有关规定拨付资金。</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项目承担单位应当根据合同书确定的拨款计划向项目协作单位拨付资金，项目协作单位不得再向外转拨资金。</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第十三条　项目承担单位应严格按合同规定的内容使用项目资金，确有必要调整时，按以下程序办理</w:t>
      </w:r>
      <w:r>
        <w:rPr>
          <w:rFonts w:ascii="Verdana" w:hAnsi="Verdana"/>
          <w:color w:val="2A2A2A"/>
          <w:sz w:val="21"/>
          <w:szCs w:val="21"/>
        </w:rPr>
        <w:t>:</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（一）项目预算总额调整、承担单位变更、项目终止等应当报市农业农村委、市财政局审核同意。项目预算总额调整后，财政资金据实安排。</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（二）项目总预算不变，直接费用中设备费、劳务费预算总额调增，新增且单台</w:t>
      </w:r>
      <w:r>
        <w:rPr>
          <w:rFonts w:ascii="Verdana" w:hAnsi="Verdana"/>
          <w:color w:val="2A2A2A"/>
          <w:sz w:val="21"/>
          <w:szCs w:val="21"/>
        </w:rPr>
        <w:t>/</w:t>
      </w:r>
      <w:r>
        <w:rPr>
          <w:rFonts w:ascii="Verdana" w:hAnsi="Verdana"/>
          <w:color w:val="2A2A2A"/>
          <w:sz w:val="21"/>
          <w:szCs w:val="21"/>
        </w:rPr>
        <w:t>套</w:t>
      </w:r>
      <w:r>
        <w:rPr>
          <w:rFonts w:ascii="Verdana" w:hAnsi="Verdana"/>
          <w:color w:val="2A2A2A"/>
          <w:sz w:val="21"/>
          <w:szCs w:val="21"/>
        </w:rPr>
        <w:t>/</w:t>
      </w:r>
      <w:r>
        <w:rPr>
          <w:rFonts w:ascii="Verdana" w:hAnsi="Verdana"/>
          <w:color w:val="2A2A2A"/>
          <w:sz w:val="21"/>
          <w:szCs w:val="21"/>
        </w:rPr>
        <w:t>件价格在</w:t>
      </w:r>
      <w:r>
        <w:rPr>
          <w:rFonts w:ascii="Verdana" w:hAnsi="Verdana"/>
          <w:color w:val="2A2A2A"/>
          <w:sz w:val="21"/>
          <w:szCs w:val="21"/>
        </w:rPr>
        <w:t>50</w:t>
      </w:r>
      <w:r>
        <w:rPr>
          <w:rFonts w:ascii="Verdana" w:hAnsi="Verdana"/>
          <w:color w:val="2A2A2A"/>
          <w:sz w:val="21"/>
          <w:szCs w:val="21"/>
        </w:rPr>
        <w:t>万元以上的设备预算调整应当报市农业农村委审核同意。设备费预算总额调减、设备</w:t>
      </w:r>
      <w:proofErr w:type="gramStart"/>
      <w:r>
        <w:rPr>
          <w:rFonts w:ascii="Verdana" w:hAnsi="Verdana"/>
          <w:color w:val="2A2A2A"/>
          <w:sz w:val="21"/>
          <w:szCs w:val="21"/>
        </w:rPr>
        <w:t>费内部</w:t>
      </w:r>
      <w:proofErr w:type="gramEnd"/>
      <w:r>
        <w:rPr>
          <w:rFonts w:ascii="Verdana" w:hAnsi="Verdana"/>
          <w:color w:val="2A2A2A"/>
          <w:sz w:val="21"/>
          <w:szCs w:val="21"/>
        </w:rPr>
        <w:t>预算结构调整、拟购置设备的明细发生变化，由项目责任人提出申请，由项目承担单位法定代表人或其授权的相关负责人审批，报市农业科技服务中心备案。</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直接费用实行分类总额控制，其中，材料费，检测加工费，燃料动力费，出版</w:t>
      </w:r>
      <w:r>
        <w:rPr>
          <w:rFonts w:ascii="Verdana" w:hAnsi="Verdana"/>
          <w:color w:val="2A2A2A"/>
          <w:sz w:val="21"/>
          <w:szCs w:val="21"/>
        </w:rPr>
        <w:t>/</w:t>
      </w:r>
      <w:r>
        <w:rPr>
          <w:rFonts w:ascii="Verdana" w:hAnsi="Verdana"/>
          <w:color w:val="2A2A2A"/>
          <w:sz w:val="21"/>
          <w:szCs w:val="21"/>
        </w:rPr>
        <w:t>文献</w:t>
      </w:r>
      <w:r>
        <w:rPr>
          <w:rFonts w:ascii="Verdana" w:hAnsi="Verdana"/>
          <w:color w:val="2A2A2A"/>
          <w:sz w:val="21"/>
          <w:szCs w:val="21"/>
        </w:rPr>
        <w:t>/</w:t>
      </w:r>
      <w:r>
        <w:rPr>
          <w:rFonts w:ascii="Verdana" w:hAnsi="Verdana"/>
          <w:color w:val="2A2A2A"/>
          <w:sz w:val="21"/>
          <w:szCs w:val="21"/>
        </w:rPr>
        <w:t>知识产权事务费等四个科目在实施中归一类管理；劳务费，差旅</w:t>
      </w:r>
      <w:r>
        <w:rPr>
          <w:rFonts w:ascii="Verdana" w:hAnsi="Verdana"/>
          <w:color w:val="2A2A2A"/>
          <w:sz w:val="21"/>
          <w:szCs w:val="21"/>
        </w:rPr>
        <w:t>/</w:t>
      </w:r>
      <w:r>
        <w:rPr>
          <w:rFonts w:ascii="Verdana" w:hAnsi="Verdana"/>
          <w:color w:val="2A2A2A"/>
          <w:sz w:val="21"/>
          <w:szCs w:val="21"/>
        </w:rPr>
        <w:t>会议</w:t>
      </w:r>
      <w:r>
        <w:rPr>
          <w:rFonts w:ascii="Verdana" w:hAnsi="Verdana"/>
          <w:color w:val="2A2A2A"/>
          <w:sz w:val="21"/>
          <w:szCs w:val="21"/>
        </w:rPr>
        <w:t>/</w:t>
      </w:r>
      <w:r>
        <w:rPr>
          <w:rFonts w:ascii="Verdana" w:hAnsi="Verdana"/>
          <w:color w:val="2A2A2A"/>
          <w:sz w:val="21"/>
          <w:szCs w:val="21"/>
        </w:rPr>
        <w:t>国际合作与交流费等两个科目在实施中归一类管理。两类之间的预算调剂，由项目责任人提出申请，由项目承担单位法定代表人或其授权的相关负责人审批，报市农业科技服务中心备案；同一类预算额度内，项目承担单位可结合实际情况进行审批或授权项目责任人自行调剂使用，结果报市农业</w:t>
      </w:r>
      <w:r>
        <w:rPr>
          <w:rFonts w:ascii="Verdana" w:hAnsi="Verdana"/>
          <w:color w:val="2A2A2A"/>
          <w:sz w:val="21"/>
          <w:szCs w:val="21"/>
        </w:rPr>
        <w:lastRenderedPageBreak/>
        <w:t>科技服务中心备案。项目承担单位应完善管理制度，健全内控体系，及时为科研人员办理预算调剂手续。</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第十四条　项目承担单位应建立与科技项目资金相适应的财务管理、资产管理和会计核算制度，对项目资金使用单独</w:t>
      </w:r>
      <w:proofErr w:type="gramStart"/>
      <w:r>
        <w:rPr>
          <w:rFonts w:ascii="Verdana" w:hAnsi="Verdana"/>
          <w:color w:val="2A2A2A"/>
          <w:sz w:val="21"/>
          <w:szCs w:val="21"/>
        </w:rPr>
        <w:t>设置台</w:t>
      </w:r>
      <w:proofErr w:type="gramEnd"/>
      <w:r>
        <w:rPr>
          <w:rFonts w:ascii="Verdana" w:hAnsi="Verdana"/>
          <w:color w:val="2A2A2A"/>
          <w:sz w:val="21"/>
          <w:szCs w:val="21"/>
        </w:rPr>
        <w:t>账，强化资金专款专用，合理开支。项目资金使用中属于政府采购管理范围的，按照政府采购有关法律法规执行。对于符合要求的科研仪器设备采购，按照《关于完善本市市属高校和科研院所科研仪器设备采购管理有关事项的通知》（</w:t>
      </w:r>
      <w:proofErr w:type="gramStart"/>
      <w:r>
        <w:rPr>
          <w:rFonts w:ascii="Verdana" w:hAnsi="Verdana"/>
          <w:color w:val="2A2A2A"/>
          <w:sz w:val="21"/>
          <w:szCs w:val="21"/>
        </w:rPr>
        <w:t>沪财采</w:t>
      </w:r>
      <w:proofErr w:type="gramEnd"/>
      <w:r>
        <w:rPr>
          <w:rFonts w:ascii="Verdana" w:hAnsi="Verdana"/>
          <w:color w:val="2A2A2A"/>
          <w:sz w:val="21"/>
          <w:szCs w:val="21"/>
        </w:rPr>
        <w:t>〔</w:t>
      </w:r>
      <w:r>
        <w:rPr>
          <w:rFonts w:ascii="Verdana" w:hAnsi="Verdana"/>
          <w:color w:val="2A2A2A"/>
          <w:sz w:val="21"/>
          <w:szCs w:val="21"/>
        </w:rPr>
        <w:t>2019</w:t>
      </w:r>
      <w:r>
        <w:rPr>
          <w:rFonts w:ascii="Verdana" w:hAnsi="Verdana"/>
          <w:color w:val="2A2A2A"/>
          <w:sz w:val="21"/>
          <w:szCs w:val="21"/>
        </w:rPr>
        <w:t>〕</w:t>
      </w:r>
      <w:r>
        <w:rPr>
          <w:rFonts w:ascii="Verdana" w:hAnsi="Verdana"/>
          <w:color w:val="2A2A2A"/>
          <w:sz w:val="21"/>
          <w:szCs w:val="21"/>
        </w:rPr>
        <w:t>11</w:t>
      </w:r>
      <w:r>
        <w:rPr>
          <w:rFonts w:ascii="Verdana" w:hAnsi="Verdana"/>
          <w:color w:val="2A2A2A"/>
          <w:sz w:val="21"/>
          <w:szCs w:val="21"/>
        </w:rPr>
        <w:t>号）有关规定简化采购流程。</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第十五条　资金结转结余</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在</w:t>
      </w:r>
      <w:proofErr w:type="gramStart"/>
      <w:r>
        <w:rPr>
          <w:rFonts w:ascii="Verdana" w:hAnsi="Verdana"/>
          <w:color w:val="2A2A2A"/>
          <w:sz w:val="21"/>
          <w:szCs w:val="21"/>
        </w:rPr>
        <w:t>研</w:t>
      </w:r>
      <w:proofErr w:type="gramEnd"/>
      <w:r>
        <w:rPr>
          <w:rFonts w:ascii="Verdana" w:hAnsi="Verdana"/>
          <w:color w:val="2A2A2A"/>
          <w:sz w:val="21"/>
          <w:szCs w:val="21"/>
        </w:rPr>
        <w:t>项目年度结转资金留存项目承担单位结转下一年度按规定继续使用。</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项目因故终止，项目承担单位应及时清理账目，编制财务报告及资产清单，由市农业农村委组织清查处理，并停拨项目资金，未使用完的项目资金按原渠道收回。</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通过验收的项目，结余资金可在</w:t>
      </w:r>
      <w:r>
        <w:rPr>
          <w:rFonts w:ascii="Verdana" w:hAnsi="Verdana"/>
          <w:color w:val="2A2A2A"/>
          <w:sz w:val="21"/>
          <w:szCs w:val="21"/>
        </w:rPr>
        <w:t>2</w:t>
      </w:r>
      <w:r>
        <w:rPr>
          <w:rFonts w:ascii="Verdana" w:hAnsi="Verdana"/>
          <w:color w:val="2A2A2A"/>
          <w:sz w:val="21"/>
          <w:szCs w:val="21"/>
        </w:rPr>
        <w:t>年内由项目承担单位统筹安排用于科研活动的直接支出，但不得用于有工资性收入人员的劳务费，并将使用情况报市农业科技服务中心，</w:t>
      </w:r>
      <w:r>
        <w:rPr>
          <w:rFonts w:ascii="Verdana" w:hAnsi="Verdana"/>
          <w:color w:val="2A2A2A"/>
          <w:sz w:val="21"/>
          <w:szCs w:val="21"/>
        </w:rPr>
        <w:t>2</w:t>
      </w:r>
      <w:r>
        <w:rPr>
          <w:rFonts w:ascii="Verdana" w:hAnsi="Verdana"/>
          <w:color w:val="2A2A2A"/>
          <w:sz w:val="21"/>
          <w:szCs w:val="21"/>
        </w:rPr>
        <w:t>年内未使用完的结余资金按原渠道收回。</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未通过验收的项目，审计确认的项目结余资金按原渠道收回，项目尾</w:t>
      </w:r>
      <w:proofErr w:type="gramStart"/>
      <w:r>
        <w:rPr>
          <w:rFonts w:ascii="Verdana" w:hAnsi="Verdana"/>
          <w:color w:val="2A2A2A"/>
          <w:sz w:val="21"/>
          <w:szCs w:val="21"/>
        </w:rPr>
        <w:t>款不再</w:t>
      </w:r>
      <w:proofErr w:type="gramEnd"/>
      <w:r>
        <w:rPr>
          <w:rFonts w:ascii="Verdana" w:hAnsi="Verdana"/>
          <w:color w:val="2A2A2A"/>
          <w:sz w:val="21"/>
          <w:szCs w:val="21"/>
        </w:rPr>
        <w:t>拨付。</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第十六条　事业单位使用项目资金形成的固定资产属于国有资产，应当按照国家有关国有资产管理规定管理。企业等经营单位使用项目资金形成的固定资产，按照《企业财务通则》等相关规章制度管理。项目承担单位获得的知识产权等无形资产，按照国家和本市有关规章制度管理。</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第十七条　项目实施形成的大型科学仪器设备、科学数据、自然科技资源等，在保障有关单位合法权益的基础上，按照国家和本市有关规章制度开放共享。</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第五章　责任与监督</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第十八条　项目承担单位和项目负责人是项目实施、资金使用和管理的责任主体。项目承担单位应按照国家及本市相关文件精神，建立健全项目和资金管理制度，完善内部控制和监督制约机制，认真行使资金管理、审核和监督权；采取有效措施为项目实施提供科研、财务、行政等支撑；制定并严格执行项目调整审批程序，配合做好评审、验收与绩效评价等有关工作；加强结转结余资金的管理。</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项目协作单位及项目负责人按照与项目承担单位签订的二级合同，完成合同内容和考核指标，配合承担单位完成原始资料收集、项目总结、资金决算及审计等工作。</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第十九条　项目承担单位的主管单位（部门）应积极协调指导项目实施工作，协助项目管理部门加强项目实施的监督检查。</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lastRenderedPageBreak/>
        <w:t xml:space="preserve">　　第二十条　市农业农村委、市财政局通过专项检查、监督评估、绩效评价等多种方式，对项目实施和资金管理使用情况进行监督检查，对发现问题的承担单位，采取警示、约谈等方式，督促整改，追踪问责。监督检查的结果将作为核拨项目资金和今后立项支持的重要依据。</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第二十一条　项目承担单位存在项目执行和资金使用中存在违规违纪行为的，市农业农村委、市财政局等部门将视情节轻重采取约谈、通报批评、暂停项目拨款、终止项目执行、追回已拨资金、阶段性或永久取消项目承担</w:t>
      </w:r>
      <w:proofErr w:type="gramStart"/>
      <w:r>
        <w:rPr>
          <w:rFonts w:ascii="Verdana" w:hAnsi="Verdana"/>
          <w:color w:val="2A2A2A"/>
          <w:sz w:val="21"/>
          <w:szCs w:val="21"/>
        </w:rPr>
        <w:t>者项目</w:t>
      </w:r>
      <w:proofErr w:type="gramEnd"/>
      <w:r>
        <w:rPr>
          <w:rFonts w:ascii="Verdana" w:hAnsi="Verdana"/>
          <w:color w:val="2A2A2A"/>
          <w:sz w:val="21"/>
          <w:szCs w:val="21"/>
        </w:rPr>
        <w:t>申报资格等措施；对弄虚作假、截留、挪用等违反国家法律法规的行为，将按照《财政违法行为处罚处分条例》等相关法律法规严肃处理；涉嫌犯罪的，移送司法机关处理。有关处理结果将向社会公开。</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第二十二条　加强科研诚信建设和信用管理。市农业农村委对项目承担单位、项目责任人、专业机构、评审专家等在专项实施和资金使用管理工作中的诚信进行记录，作为今后项目申报、管理等的重要评价依据。</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第二十三条　加强科技兴农专项资金绩效管理。专项资金应按规定设立绩效目标，开展绩效跟踪。市农业农村委会同市财政局根据工作需要，对项目资金使用情况开展绩效评价，以规模化应用、行业内推广为导向，重点评价集成性、先进性、经济适用性、辐射带动作用及产生的经济社会效益，并对绩效评价结果进行通报。</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第二十四条　市农业农村委按照国家和本市政府信息公开的有关要求，公开科技兴农专项资金的立项政策、申请条件、评审标准、程序和结果等情况，接受社会监督。</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第六章　附则</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第二十五条　本办法由市农业农村委会同市财政局负责解释。</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第二十六条　本办法自</w:t>
      </w:r>
      <w:r>
        <w:rPr>
          <w:rFonts w:ascii="Verdana" w:hAnsi="Verdana"/>
          <w:color w:val="2A2A2A"/>
          <w:sz w:val="21"/>
          <w:szCs w:val="21"/>
        </w:rPr>
        <w:t>2019</w:t>
      </w:r>
      <w:r>
        <w:rPr>
          <w:rFonts w:ascii="Verdana" w:hAnsi="Verdana"/>
          <w:color w:val="2A2A2A"/>
          <w:sz w:val="21"/>
          <w:szCs w:val="21"/>
        </w:rPr>
        <w:t>年</w:t>
      </w:r>
      <w:r>
        <w:rPr>
          <w:rFonts w:ascii="Verdana" w:hAnsi="Verdana"/>
          <w:color w:val="2A2A2A"/>
          <w:sz w:val="21"/>
          <w:szCs w:val="21"/>
        </w:rPr>
        <w:t>10</w:t>
      </w:r>
      <w:r>
        <w:rPr>
          <w:rFonts w:ascii="Verdana" w:hAnsi="Verdana"/>
          <w:color w:val="2A2A2A"/>
          <w:sz w:val="21"/>
          <w:szCs w:val="21"/>
        </w:rPr>
        <w:t>月</w:t>
      </w:r>
      <w:r>
        <w:rPr>
          <w:rFonts w:ascii="Verdana" w:hAnsi="Verdana"/>
          <w:color w:val="2A2A2A"/>
          <w:sz w:val="21"/>
          <w:szCs w:val="21"/>
        </w:rPr>
        <w:t>1</w:t>
      </w:r>
      <w:r>
        <w:rPr>
          <w:rFonts w:ascii="Verdana" w:hAnsi="Verdana"/>
          <w:color w:val="2A2A2A"/>
          <w:sz w:val="21"/>
          <w:szCs w:val="21"/>
        </w:rPr>
        <w:t>日起施行，有效期五年。市农委、市财政局《关于印发上海市科技兴农项目及资金管理办法的通知》（沪农委</w:t>
      </w:r>
      <w:proofErr w:type="gramStart"/>
      <w:r>
        <w:rPr>
          <w:rFonts w:ascii="Verdana" w:hAnsi="Verdana"/>
          <w:color w:val="2A2A2A"/>
          <w:sz w:val="21"/>
          <w:szCs w:val="21"/>
        </w:rPr>
        <w:t>规</w:t>
      </w:r>
      <w:proofErr w:type="gramEnd"/>
      <w:r>
        <w:rPr>
          <w:rFonts w:ascii="Verdana" w:hAnsi="Verdana"/>
          <w:color w:val="2A2A2A"/>
          <w:sz w:val="21"/>
          <w:szCs w:val="21"/>
        </w:rPr>
        <w:t>〔</w:t>
      </w:r>
      <w:r>
        <w:rPr>
          <w:rFonts w:ascii="Verdana" w:hAnsi="Verdana"/>
          <w:color w:val="2A2A2A"/>
          <w:sz w:val="21"/>
          <w:szCs w:val="21"/>
        </w:rPr>
        <w:t>2018</w:t>
      </w:r>
      <w:r>
        <w:rPr>
          <w:rFonts w:ascii="Verdana" w:hAnsi="Verdana"/>
          <w:color w:val="2A2A2A"/>
          <w:sz w:val="21"/>
          <w:szCs w:val="21"/>
        </w:rPr>
        <w:t>〕</w:t>
      </w:r>
      <w:r>
        <w:rPr>
          <w:rFonts w:ascii="Verdana" w:hAnsi="Verdana"/>
          <w:color w:val="2A2A2A"/>
          <w:sz w:val="21"/>
          <w:szCs w:val="21"/>
        </w:rPr>
        <w:t>4</w:t>
      </w:r>
      <w:r>
        <w:rPr>
          <w:rFonts w:ascii="Verdana" w:hAnsi="Verdana"/>
          <w:color w:val="2A2A2A"/>
          <w:sz w:val="21"/>
          <w:szCs w:val="21"/>
        </w:rPr>
        <w:t>号）同时废止。</w:t>
      </w:r>
    </w:p>
    <w:p w:rsidR="00CC0E29" w:rsidRDefault="00CC0E29" w:rsidP="00CC0E29">
      <w:pPr>
        <w:pStyle w:val="a6"/>
        <w:spacing w:before="0" w:beforeAutospacing="0" w:after="0" w:afterAutospacing="0"/>
        <w:rPr>
          <w:rFonts w:ascii="Verdana" w:hAnsi="Verdana"/>
          <w:color w:val="2A2A2A"/>
          <w:sz w:val="21"/>
          <w:szCs w:val="21"/>
        </w:rPr>
      </w:pPr>
      <w:r>
        <w:rPr>
          <w:rFonts w:ascii="Verdana" w:hAnsi="Verdana"/>
          <w:color w:val="2A2A2A"/>
          <w:sz w:val="21"/>
          <w:szCs w:val="21"/>
        </w:rPr>
        <w:br/>
      </w:r>
      <w:r>
        <w:rPr>
          <w:rFonts w:ascii="Verdana" w:hAnsi="Verdana"/>
          <w:color w:val="2A2A2A"/>
          <w:sz w:val="21"/>
          <w:szCs w:val="21"/>
        </w:rPr>
        <w:t>《上海市科技兴农项目及资金管理办法》政策解读</w:t>
      </w:r>
    </w:p>
    <w:p w:rsidR="00CC0E29" w:rsidRDefault="00CC0E29" w:rsidP="00CC0E29">
      <w:pPr>
        <w:pStyle w:val="a6"/>
        <w:spacing w:before="0" w:beforeAutospacing="0" w:after="0" w:afterAutospacing="0"/>
        <w:rPr>
          <w:rFonts w:ascii="Verdana" w:hAnsi="Verdana"/>
          <w:color w:val="2A2A2A"/>
          <w:sz w:val="21"/>
          <w:szCs w:val="21"/>
        </w:rPr>
      </w:pPr>
      <w:r>
        <w:rPr>
          <w:rFonts w:ascii="Verdana" w:hAnsi="Verdana"/>
          <w:color w:val="2A2A2A"/>
          <w:sz w:val="21"/>
          <w:szCs w:val="21"/>
        </w:rPr>
        <w:br/>
        <w:t> </w:t>
      </w:r>
      <w:r>
        <w:rPr>
          <w:rFonts w:ascii="Verdana" w:hAnsi="Verdana"/>
          <w:color w:val="2A2A2A"/>
          <w:sz w:val="21"/>
          <w:szCs w:val="21"/>
        </w:rPr>
        <w:t xml:space="preserve">　　根据《关于进一步完善中央财政科研项目资金管理等政策的若干意见》（中办发</w:t>
      </w:r>
      <w:r>
        <w:rPr>
          <w:rFonts w:ascii="Verdana" w:hAnsi="Verdana"/>
          <w:color w:val="2A2A2A"/>
          <w:sz w:val="21"/>
          <w:szCs w:val="21"/>
        </w:rPr>
        <w:t>[2016]50</w:t>
      </w:r>
      <w:r>
        <w:rPr>
          <w:rFonts w:ascii="Verdana" w:hAnsi="Verdana"/>
          <w:color w:val="2A2A2A"/>
          <w:sz w:val="21"/>
          <w:szCs w:val="21"/>
        </w:rPr>
        <w:t>号）、《国务院关于优化科研管理提升科研绩效若干措施的通知》（国发〔</w:t>
      </w:r>
      <w:r>
        <w:rPr>
          <w:rFonts w:ascii="Verdana" w:hAnsi="Verdana"/>
          <w:color w:val="2A2A2A"/>
          <w:sz w:val="21"/>
          <w:szCs w:val="21"/>
        </w:rPr>
        <w:t>2018</w:t>
      </w:r>
      <w:r>
        <w:rPr>
          <w:rFonts w:ascii="Verdana" w:hAnsi="Verdana"/>
          <w:color w:val="2A2A2A"/>
          <w:sz w:val="21"/>
          <w:szCs w:val="21"/>
        </w:rPr>
        <w:t>〕</w:t>
      </w:r>
      <w:r>
        <w:rPr>
          <w:rFonts w:ascii="Verdana" w:hAnsi="Verdana"/>
          <w:color w:val="2A2A2A"/>
          <w:sz w:val="21"/>
          <w:szCs w:val="21"/>
        </w:rPr>
        <w:t>25</w:t>
      </w:r>
      <w:r>
        <w:rPr>
          <w:rFonts w:ascii="Verdana" w:hAnsi="Verdana"/>
          <w:color w:val="2A2A2A"/>
          <w:sz w:val="21"/>
          <w:szCs w:val="21"/>
        </w:rPr>
        <w:t>号）、《国务院办公厅关于进一步赋予科研机构和人员更大自主权有关文件贯彻落实工作的通知》（国办发</w:t>
      </w:r>
      <w:r>
        <w:rPr>
          <w:rFonts w:ascii="Verdana" w:hAnsi="Verdana"/>
          <w:color w:val="2A2A2A"/>
          <w:sz w:val="21"/>
          <w:szCs w:val="21"/>
        </w:rPr>
        <w:t>[2018]127</w:t>
      </w:r>
      <w:r>
        <w:rPr>
          <w:rFonts w:ascii="Verdana" w:hAnsi="Verdana"/>
          <w:color w:val="2A2A2A"/>
          <w:sz w:val="21"/>
          <w:szCs w:val="21"/>
        </w:rPr>
        <w:t>号）、《关于进一步深化科技体制机制改革增强科技创新中心策源能力的意见》（沪委办发〔</w:t>
      </w:r>
      <w:r>
        <w:rPr>
          <w:rFonts w:ascii="Verdana" w:hAnsi="Verdana"/>
          <w:color w:val="2A2A2A"/>
          <w:sz w:val="21"/>
          <w:szCs w:val="21"/>
        </w:rPr>
        <w:t>2019</w:t>
      </w:r>
      <w:r>
        <w:rPr>
          <w:rFonts w:ascii="Verdana" w:hAnsi="Verdana"/>
          <w:color w:val="2A2A2A"/>
          <w:sz w:val="21"/>
          <w:szCs w:val="21"/>
        </w:rPr>
        <w:t>〕</w:t>
      </w:r>
      <w:r>
        <w:rPr>
          <w:rFonts w:ascii="Verdana" w:hAnsi="Verdana"/>
          <w:color w:val="2A2A2A"/>
          <w:sz w:val="21"/>
          <w:szCs w:val="21"/>
        </w:rPr>
        <w:t>78</w:t>
      </w:r>
      <w:r>
        <w:rPr>
          <w:rFonts w:ascii="Verdana" w:hAnsi="Verdana"/>
          <w:color w:val="2A2A2A"/>
          <w:sz w:val="21"/>
          <w:szCs w:val="21"/>
        </w:rPr>
        <w:t>号）等文件要求，我委会同市财政局共同修订了《上海市科技兴农项目及资金管理办法》，现将修订背景、过程及主要内容等作如下解读</w:t>
      </w:r>
      <w:r>
        <w:rPr>
          <w:rFonts w:ascii="Verdana" w:hAnsi="Verdana"/>
          <w:color w:val="2A2A2A"/>
          <w:sz w:val="21"/>
          <w:szCs w:val="21"/>
        </w:rPr>
        <w:t>:</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一、修订背景</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《上海市科技兴农项目及资金管理办法》是规范科技兴农项目立项、下达、实施、绩效等环节管理工作的制度依据。市政府办公厅对目前施行的《上海市科技兴农项目及资金管理</w:t>
      </w:r>
      <w:r>
        <w:rPr>
          <w:rFonts w:ascii="Verdana" w:hAnsi="Verdana"/>
          <w:color w:val="2A2A2A"/>
          <w:sz w:val="21"/>
          <w:szCs w:val="21"/>
        </w:rPr>
        <w:lastRenderedPageBreak/>
        <w:t>办法》（沪农委</w:t>
      </w:r>
      <w:proofErr w:type="gramStart"/>
      <w:r>
        <w:rPr>
          <w:rFonts w:ascii="Verdana" w:hAnsi="Verdana"/>
          <w:color w:val="2A2A2A"/>
          <w:sz w:val="21"/>
          <w:szCs w:val="21"/>
        </w:rPr>
        <w:t>规</w:t>
      </w:r>
      <w:proofErr w:type="gramEnd"/>
      <w:r>
        <w:rPr>
          <w:rFonts w:ascii="Verdana" w:hAnsi="Verdana"/>
          <w:color w:val="2A2A2A"/>
          <w:sz w:val="21"/>
          <w:szCs w:val="21"/>
        </w:rPr>
        <w:t>〔</w:t>
      </w:r>
      <w:r>
        <w:rPr>
          <w:rFonts w:ascii="Verdana" w:hAnsi="Verdana"/>
          <w:color w:val="2A2A2A"/>
          <w:sz w:val="21"/>
          <w:szCs w:val="21"/>
        </w:rPr>
        <w:t>2018</w:t>
      </w:r>
      <w:r>
        <w:rPr>
          <w:rFonts w:ascii="Verdana" w:hAnsi="Verdana"/>
          <w:color w:val="2A2A2A"/>
          <w:sz w:val="21"/>
          <w:szCs w:val="21"/>
        </w:rPr>
        <w:t>〕</w:t>
      </w:r>
      <w:r>
        <w:rPr>
          <w:rFonts w:ascii="Verdana" w:hAnsi="Verdana"/>
          <w:color w:val="2A2A2A"/>
          <w:sz w:val="21"/>
          <w:szCs w:val="21"/>
        </w:rPr>
        <w:t>4</w:t>
      </w:r>
      <w:r>
        <w:rPr>
          <w:rFonts w:ascii="Verdana" w:hAnsi="Verdana"/>
          <w:color w:val="2A2A2A"/>
          <w:sz w:val="21"/>
          <w:szCs w:val="21"/>
        </w:rPr>
        <w:t>号）提出两处表述性修改意见。同时，根据《关于进一步完善中央财政科研项目资金管理等政策的若干意见》（中办发</w:t>
      </w:r>
      <w:r>
        <w:rPr>
          <w:rFonts w:ascii="Verdana" w:hAnsi="Verdana"/>
          <w:color w:val="2A2A2A"/>
          <w:sz w:val="21"/>
          <w:szCs w:val="21"/>
        </w:rPr>
        <w:t>[2016]50</w:t>
      </w:r>
      <w:r>
        <w:rPr>
          <w:rFonts w:ascii="Verdana" w:hAnsi="Verdana"/>
          <w:color w:val="2A2A2A"/>
          <w:sz w:val="21"/>
          <w:szCs w:val="21"/>
        </w:rPr>
        <w:t>号）、《国务院关于优化科研管理提升科研绩效若干措施的通知》（国发〔</w:t>
      </w:r>
      <w:r>
        <w:rPr>
          <w:rFonts w:ascii="Verdana" w:hAnsi="Verdana"/>
          <w:color w:val="2A2A2A"/>
          <w:sz w:val="21"/>
          <w:szCs w:val="21"/>
        </w:rPr>
        <w:t>2018</w:t>
      </w:r>
      <w:r>
        <w:rPr>
          <w:rFonts w:ascii="Verdana" w:hAnsi="Verdana"/>
          <w:color w:val="2A2A2A"/>
          <w:sz w:val="21"/>
          <w:szCs w:val="21"/>
        </w:rPr>
        <w:t>〕</w:t>
      </w:r>
      <w:r>
        <w:rPr>
          <w:rFonts w:ascii="Verdana" w:hAnsi="Verdana"/>
          <w:color w:val="2A2A2A"/>
          <w:sz w:val="21"/>
          <w:szCs w:val="21"/>
        </w:rPr>
        <w:t>25</w:t>
      </w:r>
      <w:r>
        <w:rPr>
          <w:rFonts w:ascii="Verdana" w:hAnsi="Verdana"/>
          <w:color w:val="2A2A2A"/>
          <w:sz w:val="21"/>
          <w:szCs w:val="21"/>
        </w:rPr>
        <w:t>号）、《国务院办公厅关于进一步赋予科研机构和人员更大自主权有关文件贯彻落实工作的通知》（国办发</w:t>
      </w:r>
      <w:r>
        <w:rPr>
          <w:rFonts w:ascii="Verdana" w:hAnsi="Verdana"/>
          <w:color w:val="2A2A2A"/>
          <w:sz w:val="21"/>
          <w:szCs w:val="21"/>
        </w:rPr>
        <w:t>[2018]127</w:t>
      </w:r>
      <w:r>
        <w:rPr>
          <w:rFonts w:ascii="Verdana" w:hAnsi="Verdana"/>
          <w:color w:val="2A2A2A"/>
          <w:sz w:val="21"/>
          <w:szCs w:val="21"/>
        </w:rPr>
        <w:t>号）、《关于进一步深化科技体制机制改革增强科技创新中心策源能力的意见》（沪委办发〔</w:t>
      </w:r>
      <w:r>
        <w:rPr>
          <w:rFonts w:ascii="Verdana" w:hAnsi="Verdana"/>
          <w:color w:val="2A2A2A"/>
          <w:sz w:val="21"/>
          <w:szCs w:val="21"/>
        </w:rPr>
        <w:t>2019</w:t>
      </w:r>
      <w:r>
        <w:rPr>
          <w:rFonts w:ascii="Verdana" w:hAnsi="Verdana"/>
          <w:color w:val="2A2A2A"/>
          <w:sz w:val="21"/>
          <w:szCs w:val="21"/>
        </w:rPr>
        <w:t>〕</w:t>
      </w:r>
      <w:r>
        <w:rPr>
          <w:rFonts w:ascii="Verdana" w:hAnsi="Verdana"/>
          <w:color w:val="2A2A2A"/>
          <w:sz w:val="21"/>
          <w:szCs w:val="21"/>
        </w:rPr>
        <w:t>78</w:t>
      </w:r>
      <w:r>
        <w:rPr>
          <w:rFonts w:ascii="Verdana" w:hAnsi="Verdana"/>
          <w:color w:val="2A2A2A"/>
          <w:sz w:val="21"/>
          <w:szCs w:val="21"/>
        </w:rPr>
        <w:t>号）等文件精神，科技兴农项目应落实</w:t>
      </w:r>
      <w:r>
        <w:rPr>
          <w:rFonts w:ascii="Verdana" w:hAnsi="Verdana"/>
          <w:color w:val="2A2A2A"/>
          <w:sz w:val="21"/>
          <w:szCs w:val="21"/>
        </w:rPr>
        <w:t>“</w:t>
      </w:r>
      <w:r>
        <w:rPr>
          <w:rFonts w:ascii="Verdana" w:hAnsi="Verdana"/>
          <w:color w:val="2A2A2A"/>
          <w:sz w:val="21"/>
          <w:szCs w:val="21"/>
        </w:rPr>
        <w:t>放管服</w:t>
      </w:r>
      <w:r>
        <w:rPr>
          <w:rFonts w:ascii="Verdana" w:hAnsi="Verdana"/>
          <w:color w:val="2A2A2A"/>
          <w:sz w:val="21"/>
          <w:szCs w:val="21"/>
        </w:rPr>
        <w:t>”</w:t>
      </w:r>
      <w:r>
        <w:rPr>
          <w:rFonts w:ascii="Verdana" w:hAnsi="Verdana"/>
          <w:color w:val="2A2A2A"/>
          <w:sz w:val="21"/>
          <w:szCs w:val="21"/>
        </w:rPr>
        <w:t>改革要求，将项目管理进一步放权给项目承担单位，优化项目程序，简化项目管理，提高科研单位和人员积极性，充分释放创新活力。</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二、修订过程</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按照市政府办公厅规范性文件要求，我们将相关表述做了调整。此外，根据放</w:t>
      </w:r>
      <w:proofErr w:type="gramStart"/>
      <w:r>
        <w:rPr>
          <w:rFonts w:ascii="Verdana" w:hAnsi="Verdana"/>
          <w:color w:val="2A2A2A"/>
          <w:sz w:val="21"/>
          <w:szCs w:val="21"/>
        </w:rPr>
        <w:t>管服改革</w:t>
      </w:r>
      <w:proofErr w:type="gramEnd"/>
      <w:r>
        <w:rPr>
          <w:rFonts w:ascii="Verdana" w:hAnsi="Verdana"/>
          <w:color w:val="2A2A2A"/>
          <w:sz w:val="21"/>
          <w:szCs w:val="21"/>
        </w:rPr>
        <w:t>要求，我们赴科研院所、企业、各区农业农村委开展调研，了解项目承担与管理单位需求，在此基础上对项目中期检查、日常总结、验收管理、经费构成等内容进行了相应调整，与市财政局专题会商相关条款内容，并分批组织项目实施主体召开座谈会听取意见，形成《上海市科技兴农项目及资金管理办法》修订征求意见稿。经过征求意见与修改完善，最终形成了修订送审稿，送审稿经市农业农村委</w:t>
      </w:r>
      <w:r>
        <w:rPr>
          <w:rFonts w:ascii="Verdana" w:hAnsi="Verdana"/>
          <w:color w:val="2A2A2A"/>
          <w:sz w:val="21"/>
          <w:szCs w:val="21"/>
        </w:rPr>
        <w:t>2019</w:t>
      </w:r>
      <w:r>
        <w:rPr>
          <w:rFonts w:ascii="Verdana" w:hAnsi="Verdana"/>
          <w:color w:val="2A2A2A"/>
          <w:sz w:val="21"/>
          <w:szCs w:val="21"/>
        </w:rPr>
        <w:t>年</w:t>
      </w:r>
      <w:r>
        <w:rPr>
          <w:rFonts w:ascii="Verdana" w:hAnsi="Verdana"/>
          <w:color w:val="2A2A2A"/>
          <w:sz w:val="21"/>
          <w:szCs w:val="21"/>
        </w:rPr>
        <w:t>9</w:t>
      </w:r>
      <w:r>
        <w:rPr>
          <w:rFonts w:ascii="Verdana" w:hAnsi="Verdana"/>
          <w:color w:val="2A2A2A"/>
          <w:sz w:val="21"/>
          <w:szCs w:val="21"/>
        </w:rPr>
        <w:t>月</w:t>
      </w:r>
      <w:r>
        <w:rPr>
          <w:rFonts w:ascii="Verdana" w:hAnsi="Verdana"/>
          <w:color w:val="2A2A2A"/>
          <w:sz w:val="21"/>
          <w:szCs w:val="21"/>
        </w:rPr>
        <w:t>10</w:t>
      </w:r>
      <w:r>
        <w:rPr>
          <w:rFonts w:ascii="Verdana" w:hAnsi="Verdana"/>
          <w:color w:val="2A2A2A"/>
          <w:sz w:val="21"/>
          <w:szCs w:val="21"/>
        </w:rPr>
        <w:t>日第</w:t>
      </w:r>
      <w:r>
        <w:rPr>
          <w:rFonts w:ascii="Verdana" w:hAnsi="Verdana"/>
          <w:color w:val="2A2A2A"/>
          <w:sz w:val="21"/>
          <w:szCs w:val="21"/>
        </w:rPr>
        <w:t>14</w:t>
      </w:r>
      <w:r>
        <w:rPr>
          <w:rFonts w:ascii="Verdana" w:hAnsi="Verdana"/>
          <w:color w:val="2A2A2A"/>
          <w:sz w:val="21"/>
          <w:szCs w:val="21"/>
        </w:rPr>
        <w:t>次主任办公会讨论通过。</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三、主要修订内容</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1</w:t>
      </w:r>
      <w:r>
        <w:rPr>
          <w:rFonts w:ascii="Verdana" w:hAnsi="Verdana"/>
          <w:color w:val="2A2A2A"/>
          <w:sz w:val="21"/>
          <w:szCs w:val="21"/>
        </w:rPr>
        <w:t>、优化过程管理</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优化中期检查管理，避免重复检查、多头检查。同时，减轻项目承担人员材料填报负担，采用年度小结报送制度，一并填写项目研究进展及经费使用情况。</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2</w:t>
      </w:r>
      <w:r>
        <w:rPr>
          <w:rFonts w:ascii="Verdana" w:hAnsi="Verdana"/>
          <w:color w:val="2A2A2A"/>
          <w:sz w:val="21"/>
          <w:szCs w:val="21"/>
        </w:rPr>
        <w:t>、简化验收管理</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合并有关验收程序，一并考核项目任务完成情况和项目资金管理使用情况，由具有资质的第三方中介机构对项目资金进行财务审计，利用好单位内外部审计结果。</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3</w:t>
      </w:r>
      <w:r>
        <w:rPr>
          <w:rFonts w:ascii="Verdana" w:hAnsi="Verdana"/>
          <w:color w:val="2A2A2A"/>
          <w:sz w:val="21"/>
          <w:szCs w:val="21"/>
        </w:rPr>
        <w:t>、完善预算使用自主权</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在内控健全、不突破劳务费总量的前提下，取消劳务费支出标准限定。明确劳务费支出占总预算的比例。</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4</w:t>
      </w:r>
      <w:r>
        <w:rPr>
          <w:rFonts w:ascii="Verdana" w:hAnsi="Verdana"/>
          <w:color w:val="2A2A2A"/>
          <w:sz w:val="21"/>
          <w:szCs w:val="21"/>
        </w:rPr>
        <w:t>、扩大项目单位预算调整权</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符合本市有关政策的预算调剂权下放给承担单位。明确项目承担单位应完善管理制度，健全内控体系，及时为科研人员办理预算调整手续。</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5</w:t>
      </w:r>
      <w:r>
        <w:rPr>
          <w:rFonts w:ascii="Verdana" w:hAnsi="Verdana"/>
          <w:color w:val="2A2A2A"/>
          <w:sz w:val="21"/>
          <w:szCs w:val="21"/>
        </w:rPr>
        <w:t>、落实承担单位责任</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明确项目承担单位和项目负责人是项目实施、资金使用和管理的责任主体，应建立健全项目和资金管理制度，完善内部控制和监督制约机制。</w:t>
      </w:r>
      <w:r>
        <w:rPr>
          <w:rFonts w:ascii="Verdana" w:hAnsi="Verdana"/>
          <w:color w:val="2A2A2A"/>
          <w:sz w:val="21"/>
          <w:szCs w:val="21"/>
        </w:rPr>
        <w:br/>
      </w:r>
      <w:r>
        <w:rPr>
          <w:rFonts w:ascii="Verdana" w:hAnsi="Verdana"/>
          <w:color w:val="2A2A2A"/>
          <w:sz w:val="21"/>
          <w:szCs w:val="21"/>
        </w:rPr>
        <w:lastRenderedPageBreak/>
        <w:t> </w:t>
      </w:r>
      <w:r>
        <w:rPr>
          <w:rFonts w:ascii="Verdana" w:hAnsi="Verdana"/>
          <w:color w:val="2A2A2A"/>
          <w:sz w:val="21"/>
          <w:szCs w:val="21"/>
        </w:rPr>
        <w:br/>
      </w:r>
      <w:r>
        <w:rPr>
          <w:rFonts w:ascii="Verdana" w:hAnsi="Verdana"/>
          <w:color w:val="2A2A2A"/>
          <w:sz w:val="21"/>
          <w:szCs w:val="21"/>
        </w:rPr>
        <w:t xml:space="preserve">　　</w:t>
      </w:r>
      <w:r>
        <w:rPr>
          <w:rFonts w:ascii="Verdana" w:hAnsi="Verdana"/>
          <w:color w:val="2A2A2A"/>
          <w:sz w:val="21"/>
          <w:szCs w:val="21"/>
        </w:rPr>
        <w:t>6</w:t>
      </w:r>
      <w:r>
        <w:rPr>
          <w:rFonts w:ascii="Verdana" w:hAnsi="Verdana"/>
          <w:color w:val="2A2A2A"/>
          <w:sz w:val="21"/>
          <w:szCs w:val="21"/>
        </w:rPr>
        <w:t>、加强绩效评价</w:t>
      </w:r>
      <w:r>
        <w:rPr>
          <w:rFonts w:ascii="Verdana" w:hAnsi="Verdana"/>
          <w:color w:val="2A2A2A"/>
          <w:sz w:val="21"/>
          <w:szCs w:val="21"/>
        </w:rPr>
        <w:br/>
        <w:t> </w:t>
      </w:r>
      <w:r>
        <w:rPr>
          <w:rFonts w:ascii="Verdana" w:hAnsi="Verdana"/>
          <w:color w:val="2A2A2A"/>
          <w:sz w:val="21"/>
          <w:szCs w:val="21"/>
        </w:rPr>
        <w:br/>
      </w:r>
      <w:r>
        <w:rPr>
          <w:rFonts w:ascii="Verdana" w:hAnsi="Verdana"/>
          <w:color w:val="2A2A2A"/>
          <w:sz w:val="21"/>
          <w:szCs w:val="21"/>
        </w:rPr>
        <w:t xml:space="preserve">　　科技兴农专项资金应按规定设立绩效目标，开展绩效跟踪。</w:t>
      </w:r>
    </w:p>
    <w:p w:rsidR="00557324" w:rsidRPr="00CC0E29" w:rsidRDefault="00557324"/>
    <w:sectPr w:rsidR="00557324" w:rsidRPr="00CC0E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63" w:rsidRDefault="00C16C63" w:rsidP="00CC0E29">
      <w:r>
        <w:separator/>
      </w:r>
    </w:p>
  </w:endnote>
  <w:endnote w:type="continuationSeparator" w:id="0">
    <w:p w:rsidR="00C16C63" w:rsidRDefault="00C16C63" w:rsidP="00CC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63" w:rsidRDefault="00C16C63" w:rsidP="00CC0E29">
      <w:r>
        <w:separator/>
      </w:r>
    </w:p>
  </w:footnote>
  <w:footnote w:type="continuationSeparator" w:id="0">
    <w:p w:rsidR="00C16C63" w:rsidRDefault="00C16C63" w:rsidP="00CC0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6F"/>
    <w:rsid w:val="00557324"/>
    <w:rsid w:val="00912C6F"/>
    <w:rsid w:val="00C16C63"/>
    <w:rsid w:val="00CC0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0E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E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E29"/>
    <w:rPr>
      <w:sz w:val="18"/>
      <w:szCs w:val="18"/>
    </w:rPr>
  </w:style>
  <w:style w:type="paragraph" w:styleId="a4">
    <w:name w:val="footer"/>
    <w:basedOn w:val="a"/>
    <w:link w:val="Char0"/>
    <w:uiPriority w:val="99"/>
    <w:unhideWhenUsed/>
    <w:rsid w:val="00CC0E29"/>
    <w:pPr>
      <w:tabs>
        <w:tab w:val="center" w:pos="4153"/>
        <w:tab w:val="right" w:pos="8306"/>
      </w:tabs>
      <w:snapToGrid w:val="0"/>
      <w:jc w:val="left"/>
    </w:pPr>
    <w:rPr>
      <w:sz w:val="18"/>
      <w:szCs w:val="18"/>
    </w:rPr>
  </w:style>
  <w:style w:type="character" w:customStyle="1" w:styleId="Char0">
    <w:name w:val="页脚 Char"/>
    <w:basedOn w:val="a0"/>
    <w:link w:val="a4"/>
    <w:uiPriority w:val="99"/>
    <w:rsid w:val="00CC0E29"/>
    <w:rPr>
      <w:sz w:val="18"/>
      <w:szCs w:val="18"/>
    </w:rPr>
  </w:style>
  <w:style w:type="character" w:customStyle="1" w:styleId="1Char">
    <w:name w:val="标题 1 Char"/>
    <w:basedOn w:val="a0"/>
    <w:link w:val="1"/>
    <w:uiPriority w:val="9"/>
    <w:rsid w:val="00CC0E29"/>
    <w:rPr>
      <w:rFonts w:ascii="宋体" w:eastAsia="宋体" w:hAnsi="宋体" w:cs="宋体"/>
      <w:b/>
      <w:bCs/>
      <w:kern w:val="36"/>
      <w:sz w:val="48"/>
      <w:szCs w:val="48"/>
    </w:rPr>
  </w:style>
  <w:style w:type="character" w:styleId="a5">
    <w:name w:val="Hyperlink"/>
    <w:basedOn w:val="a0"/>
    <w:uiPriority w:val="99"/>
    <w:semiHidden/>
    <w:unhideWhenUsed/>
    <w:rsid w:val="00CC0E29"/>
    <w:rPr>
      <w:color w:val="0000FF"/>
      <w:u w:val="single"/>
    </w:rPr>
  </w:style>
  <w:style w:type="paragraph" w:styleId="a6">
    <w:name w:val="Normal (Web)"/>
    <w:basedOn w:val="a"/>
    <w:uiPriority w:val="99"/>
    <w:semiHidden/>
    <w:unhideWhenUsed/>
    <w:rsid w:val="00CC0E2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C0E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0E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E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E29"/>
    <w:rPr>
      <w:sz w:val="18"/>
      <w:szCs w:val="18"/>
    </w:rPr>
  </w:style>
  <w:style w:type="paragraph" w:styleId="a4">
    <w:name w:val="footer"/>
    <w:basedOn w:val="a"/>
    <w:link w:val="Char0"/>
    <w:uiPriority w:val="99"/>
    <w:unhideWhenUsed/>
    <w:rsid w:val="00CC0E29"/>
    <w:pPr>
      <w:tabs>
        <w:tab w:val="center" w:pos="4153"/>
        <w:tab w:val="right" w:pos="8306"/>
      </w:tabs>
      <w:snapToGrid w:val="0"/>
      <w:jc w:val="left"/>
    </w:pPr>
    <w:rPr>
      <w:sz w:val="18"/>
      <w:szCs w:val="18"/>
    </w:rPr>
  </w:style>
  <w:style w:type="character" w:customStyle="1" w:styleId="Char0">
    <w:name w:val="页脚 Char"/>
    <w:basedOn w:val="a0"/>
    <w:link w:val="a4"/>
    <w:uiPriority w:val="99"/>
    <w:rsid w:val="00CC0E29"/>
    <w:rPr>
      <w:sz w:val="18"/>
      <w:szCs w:val="18"/>
    </w:rPr>
  </w:style>
  <w:style w:type="character" w:customStyle="1" w:styleId="1Char">
    <w:name w:val="标题 1 Char"/>
    <w:basedOn w:val="a0"/>
    <w:link w:val="1"/>
    <w:uiPriority w:val="9"/>
    <w:rsid w:val="00CC0E29"/>
    <w:rPr>
      <w:rFonts w:ascii="宋体" w:eastAsia="宋体" w:hAnsi="宋体" w:cs="宋体"/>
      <w:b/>
      <w:bCs/>
      <w:kern w:val="36"/>
      <w:sz w:val="48"/>
      <w:szCs w:val="48"/>
    </w:rPr>
  </w:style>
  <w:style w:type="character" w:styleId="a5">
    <w:name w:val="Hyperlink"/>
    <w:basedOn w:val="a0"/>
    <w:uiPriority w:val="99"/>
    <w:semiHidden/>
    <w:unhideWhenUsed/>
    <w:rsid w:val="00CC0E29"/>
    <w:rPr>
      <w:color w:val="0000FF"/>
      <w:u w:val="single"/>
    </w:rPr>
  </w:style>
  <w:style w:type="paragraph" w:styleId="a6">
    <w:name w:val="Normal (Web)"/>
    <w:basedOn w:val="a"/>
    <w:uiPriority w:val="99"/>
    <w:semiHidden/>
    <w:unhideWhenUsed/>
    <w:rsid w:val="00CC0E2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C0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9696">
      <w:bodyDiv w:val="1"/>
      <w:marLeft w:val="0"/>
      <w:marRight w:val="0"/>
      <w:marTop w:val="0"/>
      <w:marBottom w:val="0"/>
      <w:divBdr>
        <w:top w:val="none" w:sz="0" w:space="0" w:color="auto"/>
        <w:left w:val="none" w:sz="0" w:space="0" w:color="auto"/>
        <w:bottom w:val="none" w:sz="0" w:space="0" w:color="auto"/>
        <w:right w:val="none" w:sz="0" w:space="0" w:color="auto"/>
      </w:divBdr>
    </w:div>
    <w:div w:id="14581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1297</Words>
  <Characters>7398</Characters>
  <Application>Microsoft Office Word</Application>
  <DocSecurity>0</DocSecurity>
  <Lines>61</Lines>
  <Paragraphs>17</Paragraphs>
  <ScaleCrop>false</ScaleCrop>
  <Company>Microsoft</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2021-04-23T02:06:00Z</dcterms:created>
  <dcterms:modified xsi:type="dcterms:W3CDTF">2021-04-23T02:08:00Z</dcterms:modified>
</cp:coreProperties>
</file>